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8F42E" w14:textId="790447AE" w:rsidR="004A0B0D" w:rsidRPr="00943E5E" w:rsidRDefault="004A0B0D" w:rsidP="004A0B0D">
      <w:pPr>
        <w:tabs>
          <w:tab w:val="clear" w:pos="567"/>
          <w:tab w:val="clear" w:pos="1134"/>
          <w:tab w:val="clear" w:pos="1701"/>
        </w:tabs>
        <w:overflowPunct/>
        <w:autoSpaceDE/>
        <w:autoSpaceDN/>
        <w:adjustRightInd/>
        <w:spacing w:after="200" w:line="276" w:lineRule="auto"/>
        <w:jc w:val="left"/>
        <w:textAlignment w:val="auto"/>
        <w:rPr>
          <w:b/>
          <w:sz w:val="28"/>
          <w:szCs w:val="28"/>
          <w:lang w:val="en-GB"/>
        </w:rPr>
      </w:pPr>
      <w:r w:rsidRPr="003576CD">
        <w:rPr>
          <w:b/>
          <w:sz w:val="28"/>
          <w:szCs w:val="28"/>
          <w:lang w:val="en-GB"/>
        </w:rPr>
        <w:t xml:space="preserve">Appendix </w:t>
      </w:r>
      <w:r w:rsidR="00943E5E" w:rsidRPr="003576CD">
        <w:rPr>
          <w:b/>
          <w:sz w:val="28"/>
          <w:szCs w:val="28"/>
          <w:lang w:val="en-GB"/>
        </w:rPr>
        <w:t>4</w:t>
      </w:r>
      <w:r w:rsidRPr="003576CD">
        <w:rPr>
          <w:b/>
          <w:sz w:val="28"/>
          <w:szCs w:val="28"/>
          <w:lang w:val="en-GB"/>
        </w:rPr>
        <w:t>:</w:t>
      </w:r>
      <w:r w:rsidR="00943E5E">
        <w:rPr>
          <w:b/>
          <w:lang w:val="en-GB"/>
        </w:rPr>
        <w:t xml:space="preserve"> </w:t>
      </w:r>
      <w:r w:rsidR="00943E5E">
        <w:rPr>
          <w:b/>
          <w:sz w:val="28"/>
          <w:szCs w:val="28"/>
          <w:lang w:val="en-GB"/>
        </w:rPr>
        <w:t>Maintenance</w:t>
      </w:r>
      <w:r w:rsidR="003576CD">
        <w:rPr>
          <w:b/>
          <w:sz w:val="28"/>
          <w:szCs w:val="28"/>
          <w:lang w:val="en-GB"/>
        </w:rPr>
        <w:t xml:space="preserve"> and support</w:t>
      </w:r>
    </w:p>
    <w:p w14:paraId="388C80BF" w14:textId="270E450E" w:rsidR="004A0B0D" w:rsidRDefault="004A0B0D" w:rsidP="004A0B0D">
      <w:pPr>
        <w:tabs>
          <w:tab w:val="clear" w:pos="567"/>
          <w:tab w:val="clear" w:pos="1134"/>
          <w:tab w:val="clear" w:pos="1701"/>
        </w:tabs>
        <w:overflowPunct/>
        <w:autoSpaceDE/>
        <w:autoSpaceDN/>
        <w:adjustRightInd/>
        <w:spacing w:after="200" w:line="276" w:lineRule="auto"/>
        <w:jc w:val="left"/>
        <w:textAlignment w:val="auto"/>
        <w:rPr>
          <w:b/>
          <w:sz w:val="22"/>
          <w:szCs w:val="22"/>
          <w:lang w:val="en-GB"/>
        </w:rPr>
      </w:pPr>
      <w:r w:rsidRPr="00AD2ACB">
        <w:rPr>
          <w:b/>
          <w:sz w:val="22"/>
          <w:szCs w:val="22"/>
          <w:lang w:val="en-GB"/>
        </w:rPr>
        <w:t>Tender for Purchase of</w:t>
      </w:r>
      <w:r w:rsidR="003576CD">
        <w:rPr>
          <w:b/>
          <w:sz w:val="22"/>
          <w:szCs w:val="22"/>
          <w:lang w:val="en-GB"/>
        </w:rPr>
        <w:t xml:space="preserve"> a new SEM with automated minera</w:t>
      </w:r>
      <w:r w:rsidRPr="00AD2ACB">
        <w:rPr>
          <w:b/>
          <w:sz w:val="22"/>
          <w:szCs w:val="22"/>
          <w:lang w:val="en-GB"/>
        </w:rPr>
        <w:t>logy analysis software</w:t>
      </w:r>
      <w:r w:rsidR="00943E5E">
        <w:rPr>
          <w:b/>
          <w:sz w:val="22"/>
          <w:szCs w:val="22"/>
          <w:lang w:val="en-GB"/>
        </w:rPr>
        <w:t>:</w:t>
      </w:r>
    </w:p>
    <w:p w14:paraId="0133F8EE" w14:textId="70304079" w:rsidR="0023568F" w:rsidRPr="00676575" w:rsidRDefault="0023568F" w:rsidP="0023568F">
      <w:pPr>
        <w:tabs>
          <w:tab w:val="clear" w:pos="567"/>
          <w:tab w:val="clear" w:pos="1134"/>
          <w:tab w:val="clear" w:pos="1701"/>
        </w:tabs>
        <w:overflowPunct/>
        <w:autoSpaceDE/>
        <w:autoSpaceDN/>
        <w:adjustRightInd/>
        <w:spacing w:after="200" w:line="276" w:lineRule="auto"/>
        <w:jc w:val="left"/>
        <w:textAlignment w:val="auto"/>
        <w:rPr>
          <w:lang w:val="en-GB"/>
        </w:rPr>
      </w:pPr>
      <w:r>
        <w:rPr>
          <w:lang w:val="en-GB"/>
        </w:rPr>
        <w:t xml:space="preserve">The tenderers are requested to use this template only for the description of the </w:t>
      </w:r>
      <w:r w:rsidR="00943E5E">
        <w:rPr>
          <w:lang w:val="en-GB"/>
        </w:rPr>
        <w:t xml:space="preserve">service and maintenance plan on the </w:t>
      </w:r>
      <w:r>
        <w:rPr>
          <w:lang w:val="en-GB"/>
        </w:rPr>
        <w:t>offered instrument</w:t>
      </w:r>
      <w:r w:rsidR="003D3910">
        <w:rPr>
          <w:lang w:val="en-GB"/>
        </w:rPr>
        <w:t xml:space="preserve">, </w:t>
      </w:r>
      <w:r w:rsidR="00C36ECF">
        <w:rPr>
          <w:lang w:val="en-GB"/>
        </w:rPr>
        <w:t>according to</w:t>
      </w:r>
      <w:r>
        <w:rPr>
          <w:lang w:val="en-GB"/>
        </w:rPr>
        <w:t xml:space="preserve"> </w:t>
      </w:r>
      <w:r w:rsidR="00943E5E">
        <w:rPr>
          <w:lang w:val="en-GB"/>
        </w:rPr>
        <w:t xml:space="preserve">minimum requirement </w:t>
      </w:r>
      <w:proofErr w:type="spellStart"/>
      <w:r w:rsidR="00943E5E">
        <w:rPr>
          <w:lang w:val="en-GB"/>
        </w:rPr>
        <w:t>nr</w:t>
      </w:r>
      <w:proofErr w:type="spellEnd"/>
      <w:r w:rsidR="00943E5E">
        <w:rPr>
          <w:lang w:val="en-GB"/>
        </w:rPr>
        <w:t>. 5</w:t>
      </w:r>
      <w:r w:rsidR="002F4B20">
        <w:rPr>
          <w:lang w:val="en-GB"/>
        </w:rPr>
        <w:t xml:space="preserve"> </w:t>
      </w:r>
      <w:r>
        <w:rPr>
          <w:lang w:val="en-GB"/>
        </w:rPr>
        <w:t>given by GEUS (Appendix 1, paragraph</w:t>
      </w:r>
      <w:r w:rsidR="00943E5E">
        <w:rPr>
          <w:lang w:val="en-GB"/>
        </w:rPr>
        <w:t xml:space="preserve"> 2.1</w:t>
      </w:r>
      <w:r>
        <w:rPr>
          <w:lang w:val="en-GB"/>
        </w:rPr>
        <w:t>).</w:t>
      </w:r>
    </w:p>
    <w:p w14:paraId="41E17842" w14:textId="77777777" w:rsidR="0023568F" w:rsidRDefault="0023568F" w:rsidP="004A0B0D">
      <w:pPr>
        <w:tabs>
          <w:tab w:val="clear" w:pos="567"/>
          <w:tab w:val="clear" w:pos="1134"/>
          <w:tab w:val="clear" w:pos="1701"/>
        </w:tabs>
        <w:overflowPunct/>
        <w:autoSpaceDE/>
        <w:autoSpaceDN/>
        <w:adjustRightInd/>
        <w:spacing w:after="200" w:line="276" w:lineRule="auto"/>
        <w:jc w:val="left"/>
        <w:textAlignment w:val="auto"/>
        <w:rPr>
          <w:b/>
          <w:sz w:val="22"/>
          <w:szCs w:val="22"/>
          <w:lang w:val="en-GB"/>
        </w:rPr>
      </w:pPr>
    </w:p>
    <w:tbl>
      <w:tblPr>
        <w:tblStyle w:val="Tabel-Gitter"/>
        <w:tblW w:w="0" w:type="auto"/>
        <w:tblInd w:w="0" w:type="dxa"/>
        <w:tblCellMar>
          <w:top w:w="57" w:type="dxa"/>
          <w:bottom w:w="57" w:type="dxa"/>
        </w:tblCellMar>
        <w:tblLook w:val="04A0" w:firstRow="1" w:lastRow="0" w:firstColumn="1" w:lastColumn="0" w:noHBand="0" w:noVBand="1"/>
      </w:tblPr>
      <w:tblGrid>
        <w:gridCol w:w="3061"/>
        <w:gridCol w:w="6344"/>
      </w:tblGrid>
      <w:tr w:rsidR="000813DD" w:rsidRPr="00023253" w14:paraId="207D8BCB" w14:textId="77777777" w:rsidTr="001B6C65">
        <w:trPr>
          <w:trHeight w:val="330"/>
        </w:trPr>
        <w:tc>
          <w:tcPr>
            <w:tcW w:w="306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1CF65DB" w14:textId="77777777" w:rsidR="000813DD" w:rsidRPr="000813DD" w:rsidRDefault="000813DD" w:rsidP="000813DD">
            <w:pPr>
              <w:tabs>
                <w:tab w:val="right" w:pos="3294"/>
              </w:tabs>
              <w:spacing w:line="360" w:lineRule="auto"/>
              <w:rPr>
                <w:b/>
                <w:color w:val="000000"/>
                <w:sz w:val="19"/>
                <w:szCs w:val="19"/>
                <w:lang w:val="en-US"/>
              </w:rPr>
            </w:pPr>
            <w:r w:rsidRPr="000813DD">
              <w:rPr>
                <w:b/>
                <w:color w:val="000000"/>
                <w:sz w:val="19"/>
                <w:szCs w:val="19"/>
                <w:lang w:val="en-US"/>
              </w:rPr>
              <w:t>General information</w:t>
            </w:r>
            <w:r>
              <w:rPr>
                <w:b/>
                <w:color w:val="000000"/>
                <w:sz w:val="19"/>
                <w:szCs w:val="19"/>
                <w:lang w:val="en-US"/>
              </w:rPr>
              <w:tab/>
            </w:r>
            <w:r>
              <w:rPr>
                <w:b/>
                <w:color w:val="000000"/>
                <w:sz w:val="19"/>
                <w:szCs w:val="19"/>
                <w:lang w:val="en-US"/>
              </w:rPr>
              <w:tab/>
            </w:r>
          </w:p>
        </w:tc>
        <w:tc>
          <w:tcPr>
            <w:tcW w:w="63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C833464" w14:textId="77777777" w:rsidR="000813DD" w:rsidRPr="000813DD" w:rsidRDefault="000813DD" w:rsidP="000813DD">
            <w:pPr>
              <w:spacing w:line="360" w:lineRule="auto"/>
              <w:rPr>
                <w:b/>
                <w:sz w:val="19"/>
                <w:szCs w:val="19"/>
                <w:lang w:val="en-US"/>
              </w:rPr>
            </w:pPr>
            <w:r w:rsidRPr="000813DD">
              <w:rPr>
                <w:b/>
                <w:sz w:val="19"/>
                <w:szCs w:val="19"/>
                <w:lang w:val="en-US"/>
              </w:rPr>
              <w:t xml:space="preserve">The response of the </w:t>
            </w:r>
            <w:r>
              <w:rPr>
                <w:b/>
                <w:sz w:val="19"/>
                <w:szCs w:val="19"/>
                <w:lang w:val="en-US"/>
              </w:rPr>
              <w:t>tenderer</w:t>
            </w:r>
          </w:p>
        </w:tc>
      </w:tr>
      <w:tr w:rsidR="000813DD" w14:paraId="5EA7141B" w14:textId="77777777" w:rsidTr="001B6C65">
        <w:trPr>
          <w:trHeight w:val="532"/>
        </w:trPr>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689C58" w14:textId="77777777" w:rsidR="000813DD" w:rsidRPr="000813DD" w:rsidRDefault="000813DD">
            <w:pPr>
              <w:spacing w:line="288" w:lineRule="auto"/>
              <w:rPr>
                <w:color w:val="000000"/>
                <w:sz w:val="19"/>
                <w:szCs w:val="19"/>
                <w:lang w:val="en-US"/>
              </w:rPr>
            </w:pPr>
            <w:r w:rsidRPr="000813DD">
              <w:rPr>
                <w:color w:val="000000"/>
                <w:sz w:val="19"/>
                <w:szCs w:val="19"/>
                <w:lang w:val="en-US"/>
              </w:rPr>
              <w:t>The name and the</w:t>
            </w:r>
            <w:r w:rsidR="002F4B20">
              <w:rPr>
                <w:color w:val="000000"/>
                <w:sz w:val="19"/>
                <w:szCs w:val="19"/>
                <w:lang w:val="en-US"/>
              </w:rPr>
              <w:t xml:space="preserve"> corporate form of the tenderer</w:t>
            </w:r>
          </w:p>
        </w:tc>
        <w:tc>
          <w:tcPr>
            <w:tcW w:w="6344" w:type="dxa"/>
            <w:tcBorders>
              <w:top w:val="single" w:sz="4" w:space="0" w:color="auto"/>
              <w:left w:val="single" w:sz="4" w:space="0" w:color="auto"/>
              <w:bottom w:val="single" w:sz="4" w:space="0" w:color="auto"/>
              <w:right w:val="single" w:sz="4" w:space="0" w:color="auto"/>
            </w:tcBorders>
            <w:hideMark/>
          </w:tcPr>
          <w:p w14:paraId="474289A3" w14:textId="77777777" w:rsidR="000813DD" w:rsidRPr="000813DD" w:rsidRDefault="000813DD">
            <w:pPr>
              <w:spacing w:line="360" w:lineRule="auto"/>
              <w:rPr>
                <w:color w:val="000000"/>
                <w:sz w:val="19"/>
                <w:szCs w:val="19"/>
                <w:lang w:val="en-US"/>
              </w:rPr>
            </w:pPr>
            <w:r w:rsidRPr="000813DD">
              <w:rPr>
                <w:sz w:val="19"/>
                <w:szCs w:val="19"/>
                <w:highlight w:val="yellow"/>
                <w:u w:val="single"/>
                <w:lang w:val="en-US"/>
              </w:rPr>
              <w:t>[Fill out]</w:t>
            </w:r>
          </w:p>
        </w:tc>
      </w:tr>
      <w:tr w:rsidR="000813DD" w14:paraId="22144A9E" w14:textId="77777777" w:rsidTr="001B6C65">
        <w:trPr>
          <w:trHeight w:val="330"/>
        </w:trPr>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B48E4" w14:textId="77777777" w:rsidR="000813DD" w:rsidRPr="000813DD" w:rsidRDefault="002F4B20">
            <w:pPr>
              <w:spacing w:line="288" w:lineRule="auto"/>
              <w:rPr>
                <w:color w:val="000000"/>
                <w:sz w:val="19"/>
                <w:szCs w:val="19"/>
                <w:lang w:val="en-US"/>
              </w:rPr>
            </w:pPr>
            <w:r>
              <w:rPr>
                <w:color w:val="000000"/>
                <w:sz w:val="19"/>
                <w:szCs w:val="19"/>
                <w:lang w:val="en-US"/>
              </w:rPr>
              <w:t>The address of the tenderer</w:t>
            </w:r>
          </w:p>
        </w:tc>
        <w:tc>
          <w:tcPr>
            <w:tcW w:w="6344" w:type="dxa"/>
            <w:tcBorders>
              <w:top w:val="single" w:sz="4" w:space="0" w:color="auto"/>
              <w:left w:val="single" w:sz="4" w:space="0" w:color="auto"/>
              <w:bottom w:val="single" w:sz="4" w:space="0" w:color="auto"/>
              <w:right w:val="single" w:sz="4" w:space="0" w:color="auto"/>
            </w:tcBorders>
            <w:hideMark/>
          </w:tcPr>
          <w:p w14:paraId="0DE8410D" w14:textId="77777777" w:rsidR="000813DD" w:rsidRPr="000813DD" w:rsidRDefault="000813DD">
            <w:pPr>
              <w:spacing w:line="360" w:lineRule="auto"/>
              <w:rPr>
                <w:color w:val="000000"/>
                <w:sz w:val="19"/>
                <w:szCs w:val="19"/>
                <w:lang w:val="en-US"/>
              </w:rPr>
            </w:pPr>
            <w:r w:rsidRPr="000813DD">
              <w:rPr>
                <w:sz w:val="19"/>
                <w:szCs w:val="19"/>
                <w:highlight w:val="yellow"/>
                <w:u w:val="single"/>
                <w:lang w:val="en-US"/>
              </w:rPr>
              <w:t>[Fill out]</w:t>
            </w:r>
          </w:p>
        </w:tc>
      </w:tr>
      <w:tr w:rsidR="000813DD" w14:paraId="629E67AB" w14:textId="77777777" w:rsidTr="001B6C65">
        <w:trPr>
          <w:trHeight w:val="532"/>
        </w:trPr>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7F6064" w14:textId="77777777" w:rsidR="000813DD" w:rsidRPr="000813DD" w:rsidRDefault="000813DD">
            <w:pPr>
              <w:spacing w:line="288" w:lineRule="auto"/>
              <w:rPr>
                <w:color w:val="000000"/>
                <w:sz w:val="19"/>
                <w:szCs w:val="19"/>
                <w:lang w:val="en-US"/>
              </w:rPr>
            </w:pPr>
            <w:r w:rsidRPr="000813DD">
              <w:rPr>
                <w:color w:val="000000"/>
                <w:sz w:val="19"/>
                <w:szCs w:val="19"/>
                <w:lang w:val="en-US"/>
              </w:rPr>
              <w:t>The</w:t>
            </w:r>
            <w:r w:rsidR="002F4B20">
              <w:rPr>
                <w:color w:val="000000"/>
                <w:sz w:val="19"/>
                <w:szCs w:val="19"/>
                <w:lang w:val="en-US"/>
              </w:rPr>
              <w:t xml:space="preserve"> contact person at the tenderer’s organisation</w:t>
            </w:r>
            <w:r w:rsidRPr="000813DD">
              <w:rPr>
                <w:color w:val="000000"/>
                <w:sz w:val="19"/>
                <w:szCs w:val="19"/>
                <w:lang w:val="en-US"/>
              </w:rPr>
              <w:t>; name and email address</w:t>
            </w:r>
          </w:p>
        </w:tc>
        <w:tc>
          <w:tcPr>
            <w:tcW w:w="6344" w:type="dxa"/>
            <w:tcBorders>
              <w:top w:val="single" w:sz="4" w:space="0" w:color="auto"/>
              <w:left w:val="single" w:sz="4" w:space="0" w:color="auto"/>
              <w:bottom w:val="single" w:sz="4" w:space="0" w:color="auto"/>
              <w:right w:val="single" w:sz="4" w:space="0" w:color="auto"/>
            </w:tcBorders>
            <w:hideMark/>
          </w:tcPr>
          <w:p w14:paraId="54A1EA17" w14:textId="77777777" w:rsidR="000813DD" w:rsidRPr="000813DD" w:rsidRDefault="000813DD">
            <w:pPr>
              <w:spacing w:line="360" w:lineRule="auto"/>
              <w:rPr>
                <w:color w:val="000000"/>
                <w:sz w:val="19"/>
                <w:szCs w:val="19"/>
                <w:lang w:val="en-US"/>
              </w:rPr>
            </w:pPr>
            <w:r w:rsidRPr="000813DD">
              <w:rPr>
                <w:sz w:val="19"/>
                <w:szCs w:val="19"/>
                <w:highlight w:val="yellow"/>
                <w:u w:val="single"/>
                <w:lang w:val="en-US"/>
              </w:rPr>
              <w:t>[Fill out]</w:t>
            </w:r>
          </w:p>
        </w:tc>
      </w:tr>
    </w:tbl>
    <w:p w14:paraId="71FBF9DD" w14:textId="77777777" w:rsidR="000813DD" w:rsidRPr="0023568F" w:rsidRDefault="000813DD" w:rsidP="004A0B0D">
      <w:pPr>
        <w:tabs>
          <w:tab w:val="clear" w:pos="567"/>
          <w:tab w:val="clear" w:pos="1134"/>
          <w:tab w:val="clear" w:pos="1701"/>
        </w:tabs>
        <w:overflowPunct/>
        <w:autoSpaceDE/>
        <w:autoSpaceDN/>
        <w:adjustRightInd/>
        <w:spacing w:after="200" w:line="276" w:lineRule="auto"/>
        <w:jc w:val="left"/>
        <w:textAlignment w:val="auto"/>
        <w:rPr>
          <w:b/>
          <w:sz w:val="22"/>
          <w:szCs w:val="22"/>
          <w:lang w:val="en-GB"/>
        </w:rPr>
      </w:pPr>
    </w:p>
    <w:p w14:paraId="02531574" w14:textId="77777777" w:rsidR="00943E5E" w:rsidRDefault="00943E5E" w:rsidP="00A734E6">
      <w:pPr>
        <w:tabs>
          <w:tab w:val="clear" w:pos="1134"/>
          <w:tab w:val="clear" w:pos="1701"/>
          <w:tab w:val="left" w:pos="6880"/>
        </w:tabs>
        <w:spacing w:after="200" w:line="276" w:lineRule="auto"/>
        <w:jc w:val="left"/>
        <w:rPr>
          <w:sz w:val="22"/>
          <w:szCs w:val="22"/>
          <w:lang w:val="en-US"/>
        </w:rPr>
      </w:pPr>
      <w:r>
        <w:rPr>
          <w:sz w:val="22"/>
          <w:szCs w:val="22"/>
          <w:lang w:val="en-US"/>
        </w:rPr>
        <w:t xml:space="preserve">The tenderers are asked below to describe their Service and Maintenance Plan, according to the minimum requirements listed in Appendix 1, paragraph 2.1, requirement 5. </w:t>
      </w:r>
    </w:p>
    <w:p w14:paraId="596A575F" w14:textId="179E2012" w:rsidR="00BA4A75" w:rsidRPr="00943E5E" w:rsidRDefault="00122C27" w:rsidP="00A734E6">
      <w:pPr>
        <w:tabs>
          <w:tab w:val="clear" w:pos="1134"/>
          <w:tab w:val="clear" w:pos="1701"/>
          <w:tab w:val="left" w:pos="6880"/>
        </w:tabs>
        <w:spacing w:after="200" w:line="276" w:lineRule="auto"/>
        <w:jc w:val="left"/>
        <w:rPr>
          <w:sz w:val="22"/>
          <w:szCs w:val="22"/>
          <w:lang w:val="en-US"/>
        </w:rPr>
      </w:pPr>
      <w:r>
        <w:rPr>
          <w:sz w:val="22"/>
          <w:szCs w:val="22"/>
          <w:lang w:val="en-US"/>
        </w:rPr>
        <w:t xml:space="preserve">The price indicated for the Service and </w:t>
      </w:r>
      <w:r w:rsidR="00C36ECF">
        <w:rPr>
          <w:sz w:val="22"/>
          <w:szCs w:val="22"/>
          <w:lang w:val="en-US"/>
        </w:rPr>
        <w:t>Maintenance in Appendix 5 must fulfil</w:t>
      </w:r>
      <w:r>
        <w:rPr>
          <w:sz w:val="22"/>
          <w:szCs w:val="22"/>
          <w:lang w:val="en-US"/>
        </w:rPr>
        <w:t xml:space="preserve"> the minimum requirements listed in Appendix 1 and represent the Services described here (Appendix 4). This price (Appendix 5) is also the price that will be used for the price-</w:t>
      </w:r>
      <w:proofErr w:type="spellStart"/>
      <w:r>
        <w:rPr>
          <w:sz w:val="22"/>
          <w:szCs w:val="22"/>
          <w:lang w:val="en-US"/>
        </w:rPr>
        <w:t>subcriterion</w:t>
      </w:r>
      <w:proofErr w:type="spellEnd"/>
      <w:r>
        <w:rPr>
          <w:sz w:val="22"/>
          <w:szCs w:val="22"/>
          <w:lang w:val="en-US"/>
        </w:rPr>
        <w:t xml:space="preserve"> during the evaluation of the tender (Appendix A).</w:t>
      </w:r>
    </w:p>
    <w:p w14:paraId="29E88C13" w14:textId="77777777" w:rsidR="00122C27" w:rsidRDefault="00122C27" w:rsidP="00744083">
      <w:pPr>
        <w:spacing w:after="200" w:line="276" w:lineRule="auto"/>
        <w:jc w:val="center"/>
        <w:rPr>
          <w:b/>
          <w:sz w:val="22"/>
          <w:szCs w:val="22"/>
          <w:lang w:val="en-US"/>
        </w:rPr>
      </w:pPr>
    </w:p>
    <w:p w14:paraId="5FA6CFD8" w14:textId="002B071B" w:rsidR="00744083" w:rsidRPr="00AD2ACB" w:rsidRDefault="00943E5E" w:rsidP="00744083">
      <w:pPr>
        <w:spacing w:after="200" w:line="276" w:lineRule="auto"/>
        <w:jc w:val="center"/>
        <w:rPr>
          <w:b/>
          <w:sz w:val="22"/>
          <w:szCs w:val="22"/>
          <w:lang w:val="en-US"/>
        </w:rPr>
      </w:pPr>
      <w:r>
        <w:rPr>
          <w:b/>
          <w:sz w:val="22"/>
          <w:szCs w:val="22"/>
          <w:lang w:val="en-US"/>
        </w:rPr>
        <w:t>Requirement 5</w:t>
      </w:r>
    </w:p>
    <w:p w14:paraId="1D8086BC" w14:textId="1E134F1A" w:rsidR="00744083" w:rsidRDefault="00744083" w:rsidP="00A734E6">
      <w:pPr>
        <w:jc w:val="center"/>
        <w:rPr>
          <w:b/>
          <w:sz w:val="19"/>
          <w:szCs w:val="19"/>
          <w:lang w:val="en-US"/>
        </w:rPr>
      </w:pPr>
      <w:r>
        <w:rPr>
          <w:b/>
          <w:sz w:val="19"/>
          <w:szCs w:val="19"/>
          <w:lang w:val="en-US"/>
        </w:rPr>
        <w:t xml:space="preserve">Description of the </w:t>
      </w:r>
      <w:r w:rsidR="008350F0">
        <w:rPr>
          <w:b/>
          <w:sz w:val="19"/>
          <w:szCs w:val="19"/>
          <w:lang w:val="en-US"/>
        </w:rPr>
        <w:t>Service and Maintenance plan</w:t>
      </w:r>
    </w:p>
    <w:p w14:paraId="66BD9809" w14:textId="77777777" w:rsidR="00744083" w:rsidRPr="00B438E1" w:rsidRDefault="00744083" w:rsidP="00744083">
      <w:pPr>
        <w:ind w:left="360"/>
        <w:jc w:val="center"/>
        <w:rPr>
          <w:b/>
          <w:lang w:val="en-GB"/>
        </w:rPr>
      </w:pPr>
    </w:p>
    <w:p w14:paraId="127E84E3" w14:textId="2D91F566" w:rsidR="00744083" w:rsidRPr="00AD2ACB" w:rsidRDefault="008350F0" w:rsidP="00744083">
      <w:pPr>
        <w:spacing w:after="200" w:line="276" w:lineRule="auto"/>
        <w:jc w:val="left"/>
        <w:rPr>
          <w:b/>
          <w:sz w:val="19"/>
          <w:szCs w:val="19"/>
          <w:lang w:val="en-US"/>
        </w:rPr>
      </w:pPr>
      <w:r>
        <w:rPr>
          <w:sz w:val="19"/>
          <w:szCs w:val="19"/>
          <w:lang w:val="en-US"/>
        </w:rPr>
        <w:t>Price</w:t>
      </w:r>
      <w:r w:rsidRPr="00AD2ACB">
        <w:rPr>
          <w:sz w:val="19"/>
          <w:szCs w:val="19"/>
          <w:lang w:val="en-US"/>
        </w:rPr>
        <w:t xml:space="preserve"> parameter used in the evaluation of tenderer’s offer. </w:t>
      </w:r>
      <w:r w:rsidR="00744083" w:rsidRPr="00744083">
        <w:rPr>
          <w:sz w:val="19"/>
          <w:szCs w:val="19"/>
          <w:lang w:val="en-US"/>
        </w:rPr>
        <w:t xml:space="preserve">The tenderer provides a short description of the </w:t>
      </w:r>
      <w:r>
        <w:rPr>
          <w:sz w:val="19"/>
          <w:szCs w:val="19"/>
          <w:lang w:val="en-US"/>
        </w:rPr>
        <w:t>Service and Maintenance plan</w:t>
      </w:r>
      <w:r w:rsidR="00744083" w:rsidRPr="00744083">
        <w:rPr>
          <w:sz w:val="19"/>
          <w:szCs w:val="19"/>
          <w:lang w:val="en-US"/>
        </w:rPr>
        <w:t xml:space="preserve"> that will be of</w:t>
      </w:r>
      <w:r>
        <w:rPr>
          <w:sz w:val="19"/>
          <w:szCs w:val="19"/>
          <w:lang w:val="en-US"/>
        </w:rPr>
        <w:t>fered</w:t>
      </w:r>
      <w:r w:rsidR="00744083" w:rsidRPr="00AD2ACB">
        <w:rPr>
          <w:sz w:val="19"/>
          <w:szCs w:val="19"/>
          <w:lang w:val="en-US"/>
        </w:rPr>
        <w:t xml:space="preserve">, </w:t>
      </w:r>
      <w:r w:rsidR="00744083" w:rsidRPr="00AD2ACB">
        <w:rPr>
          <w:b/>
          <w:sz w:val="19"/>
          <w:szCs w:val="19"/>
          <w:lang w:val="en-US"/>
        </w:rPr>
        <w:t xml:space="preserve">cf. </w:t>
      </w:r>
      <w:r w:rsidR="00744083">
        <w:rPr>
          <w:b/>
          <w:sz w:val="19"/>
          <w:szCs w:val="19"/>
          <w:lang w:val="en-US"/>
        </w:rPr>
        <w:t>Appendix 1</w:t>
      </w:r>
      <w:r w:rsidR="00744083" w:rsidRPr="00AD2ACB">
        <w:rPr>
          <w:b/>
          <w:sz w:val="19"/>
          <w:szCs w:val="19"/>
          <w:lang w:val="en-US"/>
        </w:rPr>
        <w:t>, para</w:t>
      </w:r>
      <w:r>
        <w:rPr>
          <w:b/>
          <w:sz w:val="19"/>
          <w:szCs w:val="19"/>
          <w:lang w:val="en-US"/>
        </w:rPr>
        <w:t>graph 2.1, Requirement 5</w:t>
      </w:r>
      <w:r w:rsidR="00744083" w:rsidRPr="00AD2ACB">
        <w:rPr>
          <w:b/>
          <w:sz w:val="19"/>
          <w:szCs w:val="19"/>
          <w:lang w:val="en-US"/>
        </w:rPr>
        <w:t xml:space="preserve">. </w:t>
      </w:r>
    </w:p>
    <w:p w14:paraId="55646AE7" w14:textId="77777777" w:rsidR="00E269CE" w:rsidRPr="00E269CE" w:rsidRDefault="00744083" w:rsidP="00CB3CC6">
      <w:pPr>
        <w:pStyle w:val="Overskrift1"/>
        <w:rPr>
          <w:szCs w:val="23"/>
          <w:highlight w:val="yellow"/>
          <w:lang w:val="en-US"/>
        </w:rPr>
      </w:pPr>
      <w:r w:rsidRPr="004C0FD2">
        <w:rPr>
          <w:lang w:val="en-US"/>
        </w:rPr>
        <w:t xml:space="preserve">Description of the </w:t>
      </w:r>
      <w:r w:rsidR="008350F0" w:rsidRPr="004C0FD2">
        <w:rPr>
          <w:lang w:val="en-US"/>
        </w:rPr>
        <w:t>service and maintenance plan</w:t>
      </w:r>
      <w:r w:rsidRPr="00744083">
        <w:rPr>
          <w:sz w:val="24"/>
          <w:lang w:val="en-US"/>
        </w:rPr>
        <w:t xml:space="preserve"> </w:t>
      </w:r>
    </w:p>
    <w:p w14:paraId="20E58B67" w14:textId="08661556" w:rsidR="008350F0" w:rsidRPr="00E269CE" w:rsidRDefault="00744083" w:rsidP="00E269CE">
      <w:pPr>
        <w:pStyle w:val="Overskrift1"/>
        <w:numPr>
          <w:ilvl w:val="0"/>
          <w:numId w:val="0"/>
        </w:numPr>
        <w:rPr>
          <w:szCs w:val="23"/>
          <w:highlight w:val="yellow"/>
          <w:lang w:val="en-US"/>
        </w:rPr>
      </w:pPr>
      <w:r w:rsidRPr="00AD2ACB">
        <w:rPr>
          <w:sz w:val="24"/>
          <w:lang w:val="en-US"/>
        </w:rPr>
        <w:t>[</w:t>
      </w:r>
      <w:r w:rsidR="0006260C" w:rsidRPr="00AD2ACB">
        <w:rPr>
          <w:sz w:val="24"/>
          <w:highlight w:val="yellow"/>
          <w:lang w:val="en-US"/>
        </w:rPr>
        <w:t xml:space="preserve">enter </w:t>
      </w:r>
      <w:r w:rsidR="0006260C" w:rsidRPr="00E269CE">
        <w:rPr>
          <w:szCs w:val="23"/>
          <w:highlight w:val="yellow"/>
          <w:lang w:val="en-US"/>
        </w:rPr>
        <w:t>documentation</w:t>
      </w:r>
      <w:r w:rsidR="008350F0" w:rsidRPr="00E269CE">
        <w:rPr>
          <w:szCs w:val="23"/>
          <w:highlight w:val="yellow"/>
          <w:lang w:val="en-US"/>
        </w:rPr>
        <w:t>; please include</w:t>
      </w:r>
    </w:p>
    <w:p w14:paraId="21FBC783" w14:textId="77777777"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t>*which instrument and detectors will be serviced and maintained</w:t>
      </w:r>
    </w:p>
    <w:p w14:paraId="4F15CA9B" w14:textId="7C7D95A1"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t>*which spare parts and consumables will be included in the service and maintenance plan and their availability at a longer time scale (&gt;10 years)</w:t>
      </w:r>
    </w:p>
    <w:p w14:paraId="0F02C824" w14:textId="77777777"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t>*the number of yearly preventive maintenance visits and the services provided here</w:t>
      </w:r>
    </w:p>
    <w:p w14:paraId="284BBD81" w14:textId="77777777"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t>*the number of yearly emergency visits that are included in the price and the services that are included here</w:t>
      </w:r>
    </w:p>
    <w:p w14:paraId="55E0F609" w14:textId="77777777"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t>*the response time for emergency visits</w:t>
      </w:r>
    </w:p>
    <w:p w14:paraId="0E1FDE7B" w14:textId="77777777"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t>*the quality of the telephone support</w:t>
      </w:r>
    </w:p>
    <w:p w14:paraId="5F1654A6" w14:textId="77777777" w:rsidR="008350F0" w:rsidRPr="00E269CE" w:rsidRDefault="008350F0" w:rsidP="00744083">
      <w:pPr>
        <w:pStyle w:val="Brdtekst"/>
        <w:jc w:val="both"/>
        <w:rPr>
          <w:rFonts w:ascii="Times New Roman" w:hAnsi="Times New Roman"/>
          <w:bCs/>
          <w:sz w:val="23"/>
          <w:szCs w:val="23"/>
          <w:highlight w:val="yellow"/>
          <w:lang w:val="en-US"/>
        </w:rPr>
      </w:pPr>
      <w:r w:rsidRPr="00E269CE">
        <w:rPr>
          <w:rFonts w:ascii="Times New Roman" w:hAnsi="Times New Roman"/>
          <w:bCs/>
          <w:sz w:val="23"/>
          <w:szCs w:val="23"/>
          <w:highlight w:val="yellow"/>
          <w:lang w:val="en-US"/>
        </w:rPr>
        <w:lastRenderedPageBreak/>
        <w:t>*the software update plan</w:t>
      </w:r>
    </w:p>
    <w:p w14:paraId="1ABCB65C" w14:textId="61B565B3" w:rsidR="00744083" w:rsidRPr="00E269CE" w:rsidRDefault="008350F0" w:rsidP="00744083">
      <w:pPr>
        <w:pStyle w:val="Brdtekst"/>
        <w:jc w:val="both"/>
        <w:rPr>
          <w:rFonts w:ascii="Times New Roman" w:hAnsi="Times New Roman"/>
          <w:bCs/>
          <w:sz w:val="23"/>
          <w:szCs w:val="23"/>
          <w:lang w:val="en-US"/>
        </w:rPr>
      </w:pPr>
      <w:r w:rsidRPr="00E269CE">
        <w:rPr>
          <w:rFonts w:ascii="Times New Roman" w:hAnsi="Times New Roman"/>
          <w:bCs/>
          <w:sz w:val="23"/>
          <w:szCs w:val="23"/>
          <w:highlight w:val="yellow"/>
          <w:lang w:val="en-US"/>
        </w:rPr>
        <w:t>*other items included in the service contract</w:t>
      </w:r>
      <w:r w:rsidR="00744083" w:rsidRPr="00E269CE">
        <w:rPr>
          <w:rFonts w:ascii="Times New Roman" w:hAnsi="Times New Roman"/>
          <w:bCs/>
          <w:sz w:val="23"/>
          <w:szCs w:val="23"/>
          <w:lang w:val="en-US"/>
        </w:rPr>
        <w:t xml:space="preserve">] </w:t>
      </w:r>
    </w:p>
    <w:p w14:paraId="128E9D9C" w14:textId="77777777" w:rsidR="00122C27" w:rsidRPr="00122C27" w:rsidRDefault="00122C27" w:rsidP="00122C27">
      <w:pPr>
        <w:pStyle w:val="Brdtekst"/>
        <w:rPr>
          <w:rFonts w:ascii="Times New Roman" w:hAnsi="Times New Roman"/>
          <w:bCs/>
          <w:sz w:val="24"/>
          <w:lang w:val="en-US"/>
        </w:rPr>
      </w:pPr>
    </w:p>
    <w:p w14:paraId="3DF069F2" w14:textId="14C000C1" w:rsidR="00122C27" w:rsidRPr="004C0FD2" w:rsidRDefault="008350F0" w:rsidP="00CB3CC6">
      <w:pPr>
        <w:pStyle w:val="Overskrift1"/>
        <w:rPr>
          <w:lang w:val="en-US"/>
        </w:rPr>
      </w:pPr>
      <w:r w:rsidRPr="004C0FD2">
        <w:rPr>
          <w:lang w:val="en-US"/>
        </w:rPr>
        <w:t xml:space="preserve">Price list for </w:t>
      </w:r>
      <w:r w:rsidR="004C0FD2" w:rsidRPr="004C0FD2">
        <w:rPr>
          <w:lang w:val="en-US"/>
        </w:rPr>
        <w:t>spare parts and consumables</w:t>
      </w:r>
    </w:p>
    <w:p w14:paraId="4B1D357E" w14:textId="2A293047" w:rsidR="00122C27" w:rsidRPr="00E269CE" w:rsidRDefault="00122C27" w:rsidP="00122C27">
      <w:pPr>
        <w:pStyle w:val="Brdtekst"/>
        <w:rPr>
          <w:rFonts w:ascii="Times New Roman" w:hAnsi="Times New Roman"/>
          <w:bCs/>
          <w:sz w:val="23"/>
          <w:szCs w:val="23"/>
          <w:lang w:val="en-US"/>
        </w:rPr>
      </w:pPr>
      <w:r w:rsidRPr="00E269CE">
        <w:rPr>
          <w:rFonts w:ascii="Times New Roman" w:hAnsi="Times New Roman"/>
          <w:bCs/>
          <w:sz w:val="23"/>
          <w:szCs w:val="23"/>
          <w:lang w:val="en-US"/>
        </w:rPr>
        <w:t>The tendere</w:t>
      </w:r>
      <w:r w:rsidR="004C0FD2" w:rsidRPr="00E269CE">
        <w:rPr>
          <w:rFonts w:ascii="Times New Roman" w:hAnsi="Times New Roman"/>
          <w:bCs/>
          <w:sz w:val="23"/>
          <w:szCs w:val="23"/>
          <w:lang w:val="en-US"/>
        </w:rPr>
        <w:t xml:space="preserve">r is invited to give a </w:t>
      </w:r>
      <w:r w:rsidR="008350F0" w:rsidRPr="00E269CE">
        <w:rPr>
          <w:rFonts w:ascii="Times New Roman" w:hAnsi="Times New Roman"/>
          <w:bCs/>
          <w:sz w:val="23"/>
          <w:szCs w:val="23"/>
          <w:lang w:val="en-US"/>
        </w:rPr>
        <w:t>price list fo</w:t>
      </w:r>
      <w:r w:rsidRPr="00E269CE">
        <w:rPr>
          <w:rFonts w:ascii="Times New Roman" w:hAnsi="Times New Roman"/>
          <w:bCs/>
          <w:sz w:val="23"/>
          <w:szCs w:val="23"/>
          <w:lang w:val="en-US"/>
        </w:rPr>
        <w:t xml:space="preserve">r spare parts and consumables that might be necessary for GEUS to acquire within the life-time of the instrument. These items are an Optional part of the Contract. </w:t>
      </w:r>
    </w:p>
    <w:p w14:paraId="092DECBD" w14:textId="3DE5C462" w:rsidR="004C0FD2" w:rsidRPr="00E269CE" w:rsidRDefault="004C0FD2" w:rsidP="00122C27">
      <w:pPr>
        <w:pStyle w:val="Brdtekst"/>
        <w:rPr>
          <w:rFonts w:ascii="Times New Roman" w:hAnsi="Times New Roman"/>
          <w:bCs/>
          <w:sz w:val="23"/>
          <w:szCs w:val="23"/>
          <w:lang w:val="en-US"/>
        </w:rPr>
      </w:pPr>
      <w:r w:rsidRPr="00E269CE">
        <w:rPr>
          <w:rFonts w:ascii="Times New Roman" w:hAnsi="Times New Roman"/>
          <w:bCs/>
          <w:sz w:val="23"/>
          <w:szCs w:val="23"/>
          <w:lang w:val="en-US"/>
        </w:rPr>
        <w:t>[</w:t>
      </w:r>
      <w:r w:rsidRPr="00E269CE">
        <w:rPr>
          <w:rFonts w:ascii="Times New Roman" w:hAnsi="Times New Roman"/>
          <w:bCs/>
          <w:sz w:val="23"/>
          <w:szCs w:val="23"/>
          <w:highlight w:val="yellow"/>
          <w:lang w:val="en-US"/>
        </w:rPr>
        <w:t>Please give the price list here</w:t>
      </w:r>
      <w:r w:rsidRPr="00E269CE">
        <w:rPr>
          <w:rFonts w:ascii="Times New Roman" w:hAnsi="Times New Roman"/>
          <w:bCs/>
          <w:sz w:val="23"/>
          <w:szCs w:val="23"/>
          <w:lang w:val="en-US"/>
        </w:rPr>
        <w:t>]</w:t>
      </w:r>
    </w:p>
    <w:p w14:paraId="3A99EEAD" w14:textId="77777777" w:rsidR="00122C27" w:rsidRDefault="00122C27" w:rsidP="00122C27">
      <w:pPr>
        <w:pStyle w:val="Brdtekst"/>
        <w:rPr>
          <w:rFonts w:ascii="Times New Roman" w:hAnsi="Times New Roman"/>
          <w:bCs/>
          <w:sz w:val="24"/>
          <w:lang w:val="en-US"/>
        </w:rPr>
      </w:pPr>
    </w:p>
    <w:p w14:paraId="32ABAD55" w14:textId="7F256586" w:rsidR="004C0FD2" w:rsidRPr="004C0FD2" w:rsidRDefault="004C0FD2" w:rsidP="00CB3CC6">
      <w:pPr>
        <w:pStyle w:val="Overskrift1"/>
        <w:rPr>
          <w:lang w:val="en-US"/>
        </w:rPr>
      </w:pPr>
      <w:r w:rsidRPr="004C0FD2">
        <w:rPr>
          <w:lang w:val="en-US"/>
        </w:rPr>
        <w:t>Costs of Labour, Travelling and Lodging</w:t>
      </w:r>
    </w:p>
    <w:p w14:paraId="3E663CC3" w14:textId="16027C79" w:rsidR="00122C27" w:rsidRPr="00E269CE" w:rsidRDefault="00122C27" w:rsidP="00122C27">
      <w:pPr>
        <w:pStyle w:val="Brdtekst"/>
        <w:rPr>
          <w:rFonts w:ascii="Times New Roman" w:hAnsi="Times New Roman"/>
          <w:bCs/>
          <w:sz w:val="23"/>
          <w:szCs w:val="23"/>
          <w:lang w:val="en-US"/>
        </w:rPr>
      </w:pPr>
      <w:r w:rsidRPr="00E269CE">
        <w:rPr>
          <w:rFonts w:ascii="Times New Roman" w:hAnsi="Times New Roman"/>
          <w:bCs/>
          <w:sz w:val="23"/>
          <w:szCs w:val="23"/>
          <w:lang w:val="en-US"/>
        </w:rPr>
        <w:t xml:space="preserve">The tenderer </w:t>
      </w:r>
      <w:r w:rsidR="004C0FD2" w:rsidRPr="00E269CE">
        <w:rPr>
          <w:rFonts w:ascii="Times New Roman" w:hAnsi="Times New Roman"/>
          <w:bCs/>
          <w:sz w:val="23"/>
          <w:szCs w:val="23"/>
          <w:lang w:val="en-US"/>
        </w:rPr>
        <w:t>is invited to give</w:t>
      </w:r>
      <w:r w:rsidRPr="00E269CE">
        <w:rPr>
          <w:rFonts w:ascii="Times New Roman" w:hAnsi="Times New Roman"/>
          <w:bCs/>
          <w:sz w:val="23"/>
          <w:szCs w:val="23"/>
          <w:lang w:val="en-US"/>
        </w:rPr>
        <w:t xml:space="preserve"> a price indication for hourly rates for </w:t>
      </w:r>
      <w:proofErr w:type="spellStart"/>
      <w:r w:rsidRPr="00E269CE">
        <w:rPr>
          <w:rFonts w:ascii="Times New Roman" w:hAnsi="Times New Roman"/>
          <w:bCs/>
          <w:sz w:val="23"/>
          <w:szCs w:val="23"/>
          <w:lang w:val="en-US"/>
        </w:rPr>
        <w:t>labour</w:t>
      </w:r>
      <w:proofErr w:type="spellEnd"/>
      <w:r w:rsidRPr="00E269CE">
        <w:rPr>
          <w:rFonts w:ascii="Times New Roman" w:hAnsi="Times New Roman"/>
          <w:bCs/>
          <w:sz w:val="23"/>
          <w:szCs w:val="23"/>
          <w:lang w:val="en-US"/>
        </w:rPr>
        <w:t xml:space="preserve">, for travelling and lodging costs in cases where more than 2 yearly emergency visits </w:t>
      </w:r>
      <w:r w:rsidR="004C0FD2" w:rsidRPr="00E269CE">
        <w:rPr>
          <w:rFonts w:ascii="Times New Roman" w:hAnsi="Times New Roman"/>
          <w:bCs/>
          <w:sz w:val="23"/>
          <w:szCs w:val="23"/>
          <w:lang w:val="en-US"/>
        </w:rPr>
        <w:t xml:space="preserve">to GEUS </w:t>
      </w:r>
      <w:r w:rsidRPr="00E269CE">
        <w:rPr>
          <w:rFonts w:ascii="Times New Roman" w:hAnsi="Times New Roman"/>
          <w:bCs/>
          <w:sz w:val="23"/>
          <w:szCs w:val="23"/>
          <w:lang w:val="en-US"/>
        </w:rPr>
        <w:t xml:space="preserve">are necessary. These costs are an Optional part of the Contract. Prices may not exceed the maximum prices set by the Danish State cf. </w:t>
      </w:r>
      <w:proofErr w:type="spellStart"/>
      <w:r w:rsidRPr="00E269CE">
        <w:rPr>
          <w:rFonts w:ascii="Times New Roman" w:hAnsi="Times New Roman"/>
          <w:bCs/>
          <w:i/>
          <w:sz w:val="23"/>
          <w:szCs w:val="23"/>
          <w:lang w:val="en-US"/>
        </w:rPr>
        <w:t>Cirkulære</w:t>
      </w:r>
      <w:proofErr w:type="spellEnd"/>
      <w:r w:rsidRPr="00E269CE">
        <w:rPr>
          <w:rFonts w:ascii="Times New Roman" w:hAnsi="Times New Roman"/>
          <w:bCs/>
          <w:i/>
          <w:sz w:val="23"/>
          <w:szCs w:val="23"/>
          <w:lang w:val="en-US"/>
        </w:rPr>
        <w:t xml:space="preserve"> om </w:t>
      </w:r>
      <w:proofErr w:type="spellStart"/>
      <w:r w:rsidRPr="00E269CE">
        <w:rPr>
          <w:rFonts w:ascii="Times New Roman" w:hAnsi="Times New Roman"/>
          <w:bCs/>
          <w:i/>
          <w:sz w:val="23"/>
          <w:szCs w:val="23"/>
          <w:lang w:val="en-US"/>
        </w:rPr>
        <w:t>Satsregulering</w:t>
      </w:r>
      <w:proofErr w:type="spellEnd"/>
      <w:r w:rsidRPr="00E269CE">
        <w:rPr>
          <w:rFonts w:ascii="Times New Roman" w:hAnsi="Times New Roman"/>
          <w:bCs/>
          <w:i/>
          <w:sz w:val="23"/>
          <w:szCs w:val="23"/>
          <w:lang w:val="en-US"/>
        </w:rPr>
        <w:t xml:space="preserve"> pr. 1. </w:t>
      </w:r>
      <w:proofErr w:type="spellStart"/>
      <w:r w:rsidRPr="00E269CE">
        <w:rPr>
          <w:rFonts w:ascii="Times New Roman" w:hAnsi="Times New Roman"/>
          <w:bCs/>
          <w:i/>
          <w:sz w:val="23"/>
          <w:szCs w:val="23"/>
          <w:lang w:val="en-US"/>
        </w:rPr>
        <w:t>januar</w:t>
      </w:r>
      <w:proofErr w:type="spellEnd"/>
      <w:r w:rsidRPr="00E269CE">
        <w:rPr>
          <w:rFonts w:ascii="Times New Roman" w:hAnsi="Times New Roman"/>
          <w:bCs/>
          <w:i/>
          <w:sz w:val="23"/>
          <w:szCs w:val="23"/>
          <w:lang w:val="en-US"/>
        </w:rPr>
        <w:t xml:space="preserve"> 2017 for </w:t>
      </w:r>
      <w:proofErr w:type="spellStart"/>
      <w:r w:rsidRPr="00E269CE">
        <w:rPr>
          <w:rFonts w:ascii="Times New Roman" w:hAnsi="Times New Roman"/>
          <w:bCs/>
          <w:i/>
          <w:sz w:val="23"/>
          <w:szCs w:val="23"/>
          <w:lang w:val="en-US"/>
        </w:rPr>
        <w:t>tjenesterejser</w:t>
      </w:r>
      <w:proofErr w:type="spellEnd"/>
      <w:r w:rsidRPr="00E269CE">
        <w:rPr>
          <w:rFonts w:ascii="Times New Roman" w:hAnsi="Times New Roman"/>
          <w:bCs/>
          <w:i/>
          <w:sz w:val="23"/>
          <w:szCs w:val="23"/>
          <w:lang w:val="en-US"/>
        </w:rPr>
        <w:t>.</w:t>
      </w:r>
      <w:r w:rsidRPr="00E269CE">
        <w:rPr>
          <w:rFonts w:ascii="Times New Roman" w:hAnsi="Times New Roman"/>
          <w:bCs/>
          <w:sz w:val="23"/>
          <w:szCs w:val="23"/>
          <w:lang w:val="en-US"/>
        </w:rPr>
        <w:t xml:space="preserve"> </w:t>
      </w:r>
    </w:p>
    <w:p w14:paraId="620329E0" w14:textId="67648F3C" w:rsidR="004C0FD2" w:rsidRPr="00E269CE" w:rsidRDefault="004C0FD2" w:rsidP="004C0FD2">
      <w:pPr>
        <w:pStyle w:val="Brdtekst"/>
        <w:rPr>
          <w:rFonts w:ascii="Times New Roman" w:hAnsi="Times New Roman"/>
          <w:bCs/>
          <w:sz w:val="23"/>
          <w:szCs w:val="23"/>
          <w:lang w:val="en-US"/>
        </w:rPr>
      </w:pPr>
      <w:r w:rsidRPr="00E269CE">
        <w:rPr>
          <w:rFonts w:ascii="Times New Roman" w:hAnsi="Times New Roman"/>
          <w:bCs/>
          <w:sz w:val="23"/>
          <w:szCs w:val="23"/>
          <w:lang w:val="en-US"/>
        </w:rPr>
        <w:t>[</w:t>
      </w:r>
      <w:r w:rsidRPr="00E269CE">
        <w:rPr>
          <w:rFonts w:ascii="Times New Roman" w:hAnsi="Times New Roman"/>
          <w:bCs/>
          <w:sz w:val="23"/>
          <w:szCs w:val="23"/>
          <w:highlight w:val="yellow"/>
          <w:lang w:val="en-US"/>
        </w:rPr>
        <w:t xml:space="preserve">Please give a breakdown of the costs for </w:t>
      </w:r>
      <w:proofErr w:type="spellStart"/>
      <w:r w:rsidRPr="00E269CE">
        <w:rPr>
          <w:rFonts w:ascii="Times New Roman" w:hAnsi="Times New Roman"/>
          <w:bCs/>
          <w:sz w:val="23"/>
          <w:szCs w:val="23"/>
          <w:highlight w:val="yellow"/>
          <w:lang w:val="en-US"/>
        </w:rPr>
        <w:t>labour</w:t>
      </w:r>
      <w:proofErr w:type="spellEnd"/>
      <w:r w:rsidRPr="00E269CE">
        <w:rPr>
          <w:rFonts w:ascii="Times New Roman" w:hAnsi="Times New Roman"/>
          <w:bCs/>
          <w:sz w:val="23"/>
          <w:szCs w:val="23"/>
          <w:highlight w:val="yellow"/>
          <w:lang w:val="en-US"/>
        </w:rPr>
        <w:t>, travel and lodging here</w:t>
      </w:r>
      <w:r w:rsidRPr="00E269CE">
        <w:rPr>
          <w:rFonts w:ascii="Times New Roman" w:hAnsi="Times New Roman"/>
          <w:bCs/>
          <w:sz w:val="23"/>
          <w:szCs w:val="23"/>
          <w:lang w:val="en-US"/>
        </w:rPr>
        <w:t>]</w:t>
      </w:r>
    </w:p>
    <w:p w14:paraId="0AA352FD" w14:textId="77777777" w:rsidR="00BA4A75" w:rsidRDefault="00BA4A75" w:rsidP="00744083">
      <w:pPr>
        <w:spacing w:after="200" w:line="276" w:lineRule="auto"/>
        <w:jc w:val="center"/>
        <w:rPr>
          <w:b/>
          <w:sz w:val="22"/>
          <w:szCs w:val="22"/>
          <w:lang w:val="en-US"/>
        </w:rPr>
      </w:pPr>
    </w:p>
    <w:p w14:paraId="5BC9EB27" w14:textId="77777777" w:rsidR="004C0FD2" w:rsidRPr="00AD2ACB" w:rsidRDefault="004C0FD2" w:rsidP="004C0FD2">
      <w:pPr>
        <w:spacing w:after="200" w:line="276" w:lineRule="auto"/>
        <w:jc w:val="left"/>
        <w:rPr>
          <w:b/>
          <w:sz w:val="22"/>
          <w:szCs w:val="22"/>
          <w:lang w:val="en-US"/>
        </w:rPr>
      </w:pPr>
    </w:p>
    <w:p w14:paraId="104D8F54" w14:textId="77777777" w:rsidR="00CB3CC6" w:rsidRPr="00DD7F7E" w:rsidRDefault="00CB3CC6" w:rsidP="00CB3CC6">
      <w:pPr>
        <w:pStyle w:val="Overskrift1"/>
        <w:rPr>
          <w:lang w:val="en-GB"/>
        </w:rPr>
      </w:pPr>
      <w:bookmarkStart w:id="0" w:name="_Ref437946107"/>
      <w:bookmarkStart w:id="1" w:name="_Toc477945229"/>
      <w:r w:rsidRPr="00DD7F7E">
        <w:rPr>
          <w:lang w:val="en-GB"/>
        </w:rPr>
        <w:t>Maintenance and support</w:t>
      </w:r>
      <w:bookmarkEnd w:id="0"/>
      <w:bookmarkEnd w:id="1"/>
    </w:p>
    <w:p w14:paraId="0CC27988" w14:textId="1F863EAE" w:rsidR="00971812" w:rsidRPr="00971812" w:rsidRDefault="00CB3CC6" w:rsidP="00971812">
      <w:pPr>
        <w:rPr>
          <w:lang w:val="en-GB"/>
        </w:rPr>
      </w:pPr>
      <w:r>
        <w:rPr>
          <w:lang w:val="en-GB"/>
        </w:rPr>
        <w:t xml:space="preserve">Maintenance and support include all items </w:t>
      </w:r>
      <w:r w:rsidRPr="00641DBA">
        <w:rPr>
          <w:lang w:val="en-GB"/>
        </w:rPr>
        <w:t>described in clause 1 of this Appendix.</w:t>
      </w:r>
      <w:r w:rsidR="00971812">
        <w:rPr>
          <w:lang w:val="en-GB"/>
        </w:rPr>
        <w:t xml:space="preserve"> The</w:t>
      </w:r>
      <w:r w:rsidR="00971812" w:rsidRPr="00971812">
        <w:rPr>
          <w:lang w:val="en-GB"/>
        </w:rPr>
        <w:t xml:space="preserve"> maintenance </w:t>
      </w:r>
      <w:r w:rsidR="00971812">
        <w:rPr>
          <w:lang w:val="en-GB"/>
        </w:rPr>
        <w:t>and support must be given to the</w:t>
      </w:r>
      <w:r w:rsidR="00971812" w:rsidRPr="00971812">
        <w:rPr>
          <w:lang w:val="en-GB"/>
        </w:rPr>
        <w:t xml:space="preserve"> SEM instrument with all its detectors and all software dedicated to the instrument. This includes service and maintenance on parts that were acquired through third parties.</w:t>
      </w:r>
    </w:p>
    <w:p w14:paraId="1BBD023E" w14:textId="77777777" w:rsidR="00971812" w:rsidRPr="00971812" w:rsidRDefault="00971812" w:rsidP="00971812">
      <w:pPr>
        <w:rPr>
          <w:lang w:val="en-GB"/>
        </w:rPr>
      </w:pPr>
    </w:p>
    <w:p w14:paraId="2B8D9718" w14:textId="2C11AA98" w:rsidR="00CB3CC6" w:rsidRDefault="00971812" w:rsidP="00971812">
      <w:pPr>
        <w:rPr>
          <w:lang w:val="en-GB"/>
        </w:rPr>
      </w:pPr>
      <w:r>
        <w:rPr>
          <w:lang w:val="en-GB"/>
        </w:rPr>
        <w:t xml:space="preserve">The </w:t>
      </w:r>
      <w:r w:rsidRPr="00971812">
        <w:rPr>
          <w:lang w:val="en-GB"/>
        </w:rPr>
        <w:t xml:space="preserve">maintenance </w:t>
      </w:r>
      <w:r>
        <w:rPr>
          <w:lang w:val="en-GB"/>
        </w:rPr>
        <w:t>and support</w:t>
      </w:r>
      <w:r w:rsidRPr="00971812">
        <w:rPr>
          <w:lang w:val="en-GB"/>
        </w:rPr>
        <w:t xml:space="preserve"> must include the exchange of the Field Emission Gun</w:t>
      </w:r>
      <w:r w:rsidR="00051B2A">
        <w:rPr>
          <w:lang w:val="en-GB"/>
        </w:rPr>
        <w:t xml:space="preserve"> free of charge</w:t>
      </w:r>
      <w:r w:rsidRPr="00971812">
        <w:rPr>
          <w:lang w:val="en-GB"/>
        </w:rPr>
        <w:t>, when necessary, following Best Industrial Practice to determine the correct time to do so.</w:t>
      </w:r>
      <w:r w:rsidR="00051B2A">
        <w:rPr>
          <w:lang w:val="en-GB"/>
        </w:rPr>
        <w:t xml:space="preserve"> Other spare parts and consumables will be bought for prices indicated in the list in clause 2. The Customer has the right to buy spare parts and consumables elsewhere. </w:t>
      </w:r>
    </w:p>
    <w:p w14:paraId="71EA2C49" w14:textId="77777777" w:rsidR="00CB3CC6" w:rsidRDefault="00CB3CC6" w:rsidP="00CB3CC6">
      <w:pPr>
        <w:rPr>
          <w:lang w:val="en-GB"/>
        </w:rPr>
      </w:pPr>
    </w:p>
    <w:p w14:paraId="3912D97F" w14:textId="77777777" w:rsidR="00CB3CC6" w:rsidRPr="00DD7F7E" w:rsidRDefault="00CB3CC6" w:rsidP="00CB3CC6">
      <w:pPr>
        <w:rPr>
          <w:lang w:val="en-GB"/>
        </w:rPr>
      </w:pPr>
      <w:r w:rsidRPr="00DD7F7E">
        <w:rPr>
          <w:lang w:val="en-GB"/>
        </w:rPr>
        <w:t>The Supplier undertakes to provide maintenance and support in respect of the Delivery as from the Acceptance Date.</w:t>
      </w:r>
      <w:r>
        <w:rPr>
          <w:lang w:val="en-GB"/>
        </w:rPr>
        <w:t xml:space="preserve"> </w:t>
      </w:r>
      <w:r w:rsidRPr="00DD7F7E">
        <w:rPr>
          <w:lang w:val="en-GB"/>
        </w:rPr>
        <w:t>The Customer will pay fees for maintenance and support prior to the Acceptance Date.</w:t>
      </w:r>
    </w:p>
    <w:p w14:paraId="0A804B3B" w14:textId="3E0AA2C3" w:rsidR="00CB3CC6" w:rsidRDefault="00CB3CC6" w:rsidP="00CB3CC6">
      <w:pPr>
        <w:rPr>
          <w:lang w:val="en-GB"/>
        </w:rPr>
      </w:pPr>
    </w:p>
    <w:p w14:paraId="232EC1FE" w14:textId="53D4F37B" w:rsidR="00CB3CC6" w:rsidRPr="00DD7F7E" w:rsidRDefault="00CB3CC6" w:rsidP="00CB3CC6">
      <w:pPr>
        <w:rPr>
          <w:lang w:val="en-GB"/>
        </w:rPr>
      </w:pPr>
      <w:r>
        <w:rPr>
          <w:lang w:val="en-GB"/>
        </w:rPr>
        <w:t>This Contract for maintenance and support will be valid for 5 years with the possibility for extension.</w:t>
      </w:r>
    </w:p>
    <w:p w14:paraId="623913E3" w14:textId="77777777" w:rsidR="00CB3CC6" w:rsidRDefault="00CB3CC6" w:rsidP="00CB3CC6">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14:paraId="362CD6D8" w14:textId="5900D90C" w:rsidR="003D3B36" w:rsidRPr="005A3FC2" w:rsidRDefault="00CB3CC6" w:rsidP="003D3B36">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sidRPr="00DD7F7E">
        <w:rPr>
          <w:lang w:val="en-GB"/>
        </w:rPr>
        <w:t>Maintenance of Software</w:t>
      </w:r>
      <w:r w:rsidR="003D3B36">
        <w:rPr>
          <w:lang w:val="en-GB"/>
        </w:rPr>
        <w:t xml:space="preserve"> and major changes to the Scanning electron microscope instrument and/or its detectors</w:t>
      </w:r>
      <w:r w:rsidRPr="00DD7F7E">
        <w:rPr>
          <w:lang w:val="en-GB"/>
        </w:rPr>
        <w:t xml:space="preserve"> invariably includes </w:t>
      </w:r>
      <w:r w:rsidR="003D3B36">
        <w:rPr>
          <w:lang w:val="en-GB"/>
        </w:rPr>
        <w:t xml:space="preserve">an update of </w:t>
      </w:r>
      <w:r w:rsidRPr="00DD7F7E">
        <w:rPr>
          <w:lang w:val="en-GB"/>
        </w:rPr>
        <w:t xml:space="preserve">the associated </w:t>
      </w:r>
      <w:r w:rsidRPr="00641DBA">
        <w:rPr>
          <w:lang w:val="en-GB"/>
        </w:rPr>
        <w:t>Documentation, cf. clause 3.2</w:t>
      </w:r>
      <w:r w:rsidR="003D3B36" w:rsidRPr="00641DBA">
        <w:rPr>
          <w:lang w:val="en-GB"/>
        </w:rPr>
        <w:t xml:space="preserve"> of the main Contract. A renewed</w:t>
      </w:r>
      <w:r w:rsidR="003D3B36">
        <w:rPr>
          <w:lang w:val="en-GB"/>
        </w:rPr>
        <w:t xml:space="preserve"> full documentation of the software or</w:t>
      </w:r>
      <w:r w:rsidR="003D3B36" w:rsidRPr="005A3FC2">
        <w:rPr>
          <w:lang w:val="en-GB"/>
        </w:rPr>
        <w:t xml:space="preserve"> hardware </w:t>
      </w:r>
      <w:r w:rsidR="003D3B36">
        <w:rPr>
          <w:lang w:val="en-GB"/>
        </w:rPr>
        <w:t>must be provided</w:t>
      </w:r>
      <w:r w:rsidR="003D3B36" w:rsidRPr="005A3FC2">
        <w:rPr>
          <w:lang w:val="en-GB"/>
        </w:rPr>
        <w:t xml:space="preserve">, such that in case of any unforeseen event or other reasons of whatever cause, the instrument may be serviced, maintained and updated by parties uninvolved in the production of the instrument’s hardware and software. </w:t>
      </w:r>
    </w:p>
    <w:p w14:paraId="18D62937" w14:textId="77777777" w:rsidR="003D3B36" w:rsidRPr="005A3FC2" w:rsidRDefault="003D3B36" w:rsidP="003D3B36">
      <w:pPr>
        <w:rPr>
          <w:lang w:val="en-US"/>
        </w:rPr>
      </w:pPr>
    </w:p>
    <w:p w14:paraId="6AF7D481" w14:textId="6C948922" w:rsidR="003D3B36" w:rsidRPr="005A3FC2" w:rsidRDefault="003D3B36" w:rsidP="003D3B36">
      <w:pPr>
        <w:rPr>
          <w:lang w:val="en-GB"/>
        </w:rPr>
      </w:pPr>
      <w:r>
        <w:rPr>
          <w:lang w:val="en-US"/>
        </w:rPr>
        <w:t xml:space="preserve">The </w:t>
      </w:r>
      <w:r w:rsidRPr="001F63CA">
        <w:rPr>
          <w:lang w:val="en-US"/>
        </w:rPr>
        <w:t>Supplier must provide GEUS with at least two new copies of the relevant user manuals after a software update, conf. Appendix 1, paragraph 2.1, requirement 3.</w:t>
      </w:r>
    </w:p>
    <w:p w14:paraId="32E92B3F" w14:textId="77777777" w:rsidR="003D3B36" w:rsidRPr="00DD7F7E" w:rsidRDefault="003D3B36" w:rsidP="00CB3CC6">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14:paraId="219FE08F" w14:textId="552D15DF" w:rsidR="00CB3CC6" w:rsidRDefault="00CB3CC6" w:rsidP="00CB3CC6">
      <w:pPr>
        <w:rPr>
          <w:lang w:val="en-GB"/>
        </w:rPr>
      </w:pPr>
      <w:r w:rsidRPr="00DD7F7E">
        <w:rPr>
          <w:lang w:val="en-GB"/>
        </w:rPr>
        <w:lastRenderedPageBreak/>
        <w:t>In case of Deployment of an approved Partial Delivery before the Acceptance Date, the Supplier must provide maintenance and support in respect of th</w:t>
      </w:r>
      <w:r>
        <w:rPr>
          <w:lang w:val="en-GB"/>
        </w:rPr>
        <w:t>e Partial Delivery</w:t>
      </w:r>
      <w:r w:rsidRPr="00DD7F7E">
        <w:rPr>
          <w:lang w:val="en-GB"/>
        </w:rPr>
        <w:t xml:space="preserve">. </w:t>
      </w:r>
    </w:p>
    <w:p w14:paraId="5FAF0644" w14:textId="77777777" w:rsidR="00CB3CC6" w:rsidRPr="00DD7F7E" w:rsidRDefault="00CB3CC6" w:rsidP="00CB3CC6">
      <w:pPr>
        <w:widowControl w:val="0"/>
        <w:tabs>
          <w:tab w:val="left" w:pos="1728"/>
          <w:tab w:val="left" w:pos="3024"/>
          <w:tab w:val="left" w:pos="4320"/>
          <w:tab w:val="left" w:pos="5616"/>
          <w:tab w:val="left" w:pos="6912"/>
          <w:tab w:val="left" w:pos="8208"/>
          <w:tab w:val="left" w:pos="8640"/>
          <w:tab w:val="left" w:pos="9360"/>
          <w:tab w:val="left" w:pos="10080"/>
        </w:tabs>
        <w:rPr>
          <w:highlight w:val="yellow"/>
          <w:lang w:val="en-GB"/>
        </w:rPr>
      </w:pPr>
    </w:p>
    <w:p w14:paraId="41A27927" w14:textId="7DF4FB6D" w:rsidR="00051B2A" w:rsidRPr="00E269CE" w:rsidRDefault="00051B2A" w:rsidP="00C36ECF">
      <w:pPr>
        <w:rPr>
          <w:lang w:val="en-GB"/>
        </w:rPr>
      </w:pPr>
      <w:r w:rsidRPr="00051B2A">
        <w:rPr>
          <w:lang w:val="en-GB"/>
        </w:rPr>
        <w:t>GEUS must be supplied with unlimited free new software releases and free new version of all software for at least five years after signing the contract. The tenderer will assist in trouble shooting for bugs in software.</w:t>
      </w:r>
      <w:r w:rsidR="00C36ECF">
        <w:rPr>
          <w:lang w:val="en-GB"/>
        </w:rPr>
        <w:t xml:space="preserve"> In case of major changes in the software the Supplier offers </w:t>
      </w:r>
      <w:r w:rsidR="00C36ECF" w:rsidRPr="00E269CE">
        <w:rPr>
          <w:lang w:val="en-GB"/>
        </w:rPr>
        <w:t>additional training free of charge.</w:t>
      </w:r>
    </w:p>
    <w:p w14:paraId="7C3AB199" w14:textId="77777777" w:rsidR="00051B2A" w:rsidRPr="00E269CE" w:rsidRDefault="00051B2A" w:rsidP="00CB3CC6">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14:paraId="58904A99" w14:textId="557B90D7" w:rsidR="00CB3CC6" w:rsidRPr="00E269CE" w:rsidRDefault="00CB3CC6" w:rsidP="00CB3CC6">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sidRPr="00E269CE">
        <w:rPr>
          <w:lang w:val="en-GB"/>
        </w:rPr>
        <w:t xml:space="preserve">The Customer is not obligated to make updates by way of new Versions. </w:t>
      </w:r>
      <w:r w:rsidR="006A533E" w:rsidRPr="00E269CE">
        <w:rPr>
          <w:lang w:val="en-GB"/>
        </w:rPr>
        <w:t>The Customer may be 3 update Versions of the software in arrears without giving the Supplier the right to restrict their achievement of the service goals. In case of a further arrear the Customer may make an software update condition to further software support.</w:t>
      </w:r>
      <w:r w:rsidR="00C36ECF" w:rsidRPr="00E269CE">
        <w:rPr>
          <w:lang w:val="en-GB"/>
        </w:rPr>
        <w:t xml:space="preserve"> </w:t>
      </w:r>
      <w:r w:rsidR="00A91F7A" w:rsidRPr="00E269CE">
        <w:rPr>
          <w:lang w:val="en-GB"/>
        </w:rPr>
        <w:t>Any</w:t>
      </w:r>
      <w:r w:rsidRPr="00E269CE">
        <w:rPr>
          <w:lang w:val="en-GB"/>
        </w:rPr>
        <w:t xml:space="preserve"> update </w:t>
      </w:r>
      <w:r w:rsidR="00A91F7A" w:rsidRPr="00E269CE">
        <w:rPr>
          <w:lang w:val="en-GB"/>
        </w:rPr>
        <w:t xml:space="preserve">by way of new Versions gives </w:t>
      </w:r>
      <w:r w:rsidRPr="00E269CE">
        <w:rPr>
          <w:lang w:val="en-GB"/>
        </w:rPr>
        <w:t>Supp</w:t>
      </w:r>
      <w:r w:rsidR="00A91F7A" w:rsidRPr="00E269CE">
        <w:rPr>
          <w:lang w:val="en-GB"/>
        </w:rPr>
        <w:t>lier the</w:t>
      </w:r>
      <w:r w:rsidRPr="00E269CE">
        <w:rPr>
          <w:lang w:val="en-GB"/>
        </w:rPr>
        <w:t xml:space="preserve"> duty to take corrective action in pursuance of the maintenance plan, cf. clause </w:t>
      </w:r>
      <w:r w:rsidR="00A8075C" w:rsidRPr="00E269CE">
        <w:rPr>
          <w:lang w:val="en-GB"/>
        </w:rPr>
        <w:t>4</w:t>
      </w:r>
      <w:r w:rsidRPr="00E269CE">
        <w:rPr>
          <w:lang w:val="en-GB"/>
        </w:rPr>
        <w:t xml:space="preserve">.1. </w:t>
      </w:r>
    </w:p>
    <w:p w14:paraId="328ABF00" w14:textId="77777777" w:rsidR="00CB3CC6" w:rsidRPr="00E269CE" w:rsidRDefault="00CB3CC6" w:rsidP="00CB3CC6">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14:paraId="0FCE40AA" w14:textId="726E1B3C" w:rsidR="00CB3CC6" w:rsidRPr="00E269CE" w:rsidRDefault="00CB3CC6" w:rsidP="00CB3CC6">
      <w:pPr>
        <w:rPr>
          <w:lang w:val="en-GB"/>
        </w:rPr>
      </w:pPr>
      <w:r w:rsidRPr="00E269CE">
        <w:rPr>
          <w:lang w:val="en-GB"/>
        </w:rPr>
        <w:t xml:space="preserve">Maintenance must be provided in accordance with Best IT Practice and Best Industry Practice by qualified personnel with knowledge of the Delivery. When providing maintenance and support, the Supplier must achieve the maturity level stated by the Supplier, cf. Appendix 2. </w:t>
      </w:r>
      <w:r w:rsidR="00A91F7A" w:rsidRPr="00E269CE">
        <w:rPr>
          <w:lang w:val="en-GB"/>
        </w:rPr>
        <w:t>The Supplier must guarantee the availability of spare parts for at least 10 years after signing of the contract.</w:t>
      </w:r>
      <w:r w:rsidR="007D7ADE" w:rsidRPr="00E269CE">
        <w:rPr>
          <w:lang w:val="en-GB"/>
        </w:rPr>
        <w:t xml:space="preserve"> The supplier provides a list of all potentially relevant spare parts (Appendix 4, paragraph 2). This list may serve as a base level for price-indexation in the course of the contract period.</w:t>
      </w:r>
    </w:p>
    <w:p w14:paraId="5BCDEA16" w14:textId="77777777" w:rsidR="007D7ADE" w:rsidRPr="00E269CE" w:rsidRDefault="007D7ADE" w:rsidP="00CB3CC6">
      <w:pPr>
        <w:rPr>
          <w:lang w:val="en-GB"/>
        </w:rPr>
      </w:pPr>
    </w:p>
    <w:p w14:paraId="76936F2E" w14:textId="77777777" w:rsidR="00CB3CC6" w:rsidRPr="00E269CE" w:rsidRDefault="00CB3CC6" w:rsidP="00CB3CC6">
      <w:pPr>
        <w:widowControl w:val="0"/>
        <w:tabs>
          <w:tab w:val="left" w:pos="1728"/>
          <w:tab w:val="left" w:pos="3024"/>
          <w:tab w:val="left" w:pos="4320"/>
          <w:tab w:val="left" w:pos="5616"/>
          <w:tab w:val="left" w:pos="6912"/>
          <w:tab w:val="left" w:pos="8208"/>
          <w:tab w:val="left" w:pos="8640"/>
          <w:tab w:val="left" w:pos="9360"/>
          <w:tab w:val="left" w:pos="10080"/>
        </w:tabs>
        <w:rPr>
          <w:lang w:val="en-US"/>
        </w:rPr>
      </w:pPr>
    </w:p>
    <w:p w14:paraId="111D251C" w14:textId="77777777" w:rsidR="00CB3CC6" w:rsidRPr="00E269CE" w:rsidRDefault="00CB3CC6" w:rsidP="00CB3CC6">
      <w:pPr>
        <w:pStyle w:val="Overskrift2"/>
        <w:rPr>
          <w:lang w:val="en-GB"/>
        </w:rPr>
      </w:pPr>
      <w:bookmarkStart w:id="2" w:name="_Ref119988917"/>
      <w:bookmarkStart w:id="3" w:name="_Toc191439120"/>
      <w:bookmarkStart w:id="4" w:name="_Toc477945230"/>
      <w:r w:rsidRPr="00E269CE">
        <w:rPr>
          <w:lang w:val="en-GB"/>
        </w:rPr>
        <w:t>Maintenance plan time limits</w:t>
      </w:r>
      <w:bookmarkEnd w:id="2"/>
      <w:bookmarkEnd w:id="3"/>
      <w:bookmarkEnd w:id="4"/>
    </w:p>
    <w:p w14:paraId="26255E24" w14:textId="3E210E1A" w:rsidR="00CB3CC6" w:rsidRPr="00E269CE" w:rsidRDefault="00CB3CC6" w:rsidP="00CB3CC6">
      <w:pPr>
        <w:rPr>
          <w:lang w:val="en-GB"/>
        </w:rPr>
      </w:pPr>
      <w:r w:rsidRPr="00E269CE">
        <w:rPr>
          <w:lang w:val="en-GB"/>
        </w:rPr>
        <w:t>In case of a Fault the time limit for Supplier’s commencement of corrective action is 48 hours.</w:t>
      </w:r>
      <w:r w:rsidR="00A8075C" w:rsidRPr="00E269CE">
        <w:rPr>
          <w:lang w:val="en-GB"/>
        </w:rPr>
        <w:t xml:space="preserve"> A corrective action is completed upon signing of a repair acceptance form after remediation of the Fault by the Customer.</w:t>
      </w:r>
    </w:p>
    <w:p w14:paraId="78A002C2" w14:textId="77777777" w:rsidR="005C17FA" w:rsidRPr="00E269CE" w:rsidRDefault="005C17FA" w:rsidP="00CB3CC6">
      <w:pPr>
        <w:rPr>
          <w:lang w:val="en-GB"/>
        </w:rPr>
      </w:pPr>
    </w:p>
    <w:p w14:paraId="0EA9D034" w14:textId="77777777" w:rsidR="005C17FA" w:rsidRPr="00E269CE" w:rsidRDefault="005C17FA" w:rsidP="005C17FA">
      <w:pPr>
        <w:rPr>
          <w:lang w:val="en-GB"/>
        </w:rPr>
      </w:pPr>
      <w:r w:rsidRPr="00E269CE">
        <w:rPr>
          <w:lang w:val="en-GB"/>
        </w:rPr>
        <w:t>The Supplier includes at least 2 free remediation visits per year, where a delegated from the Supplier will restore the instrument, or its detectors or software in case of a malfunctioning. The tenderer pays for labour, travelling and lodging costs during these visits. The costs for additional remediation visits are billed to GEUS following the prices in clause 3.</w:t>
      </w:r>
    </w:p>
    <w:p w14:paraId="0299630C" w14:textId="77777777" w:rsidR="00CB3CC6" w:rsidRPr="00E269CE" w:rsidRDefault="00CB3CC6" w:rsidP="00CB3CC6">
      <w:pPr>
        <w:rPr>
          <w:lang w:val="en-GB"/>
        </w:rPr>
      </w:pPr>
    </w:p>
    <w:p w14:paraId="51798046" w14:textId="77777777" w:rsidR="00CB3CC6" w:rsidRPr="00E269CE" w:rsidRDefault="00CB3CC6" w:rsidP="00CB3CC6">
      <w:pPr>
        <w:rPr>
          <w:lang w:val="en-GB"/>
        </w:rPr>
      </w:pPr>
      <w:r w:rsidRPr="00E269CE">
        <w:rPr>
          <w:lang w:val="en-GB"/>
        </w:rPr>
        <w:t xml:space="preserve">The classification of a Fault depends, in particular, upon whether the Fault is critical to the performance of the Customer’s tasks, and whether the Fault may be worked around.  Work-around means, e.g., use of other and/or additional entries or functions and the Customer’s use of changed work processes.  </w:t>
      </w:r>
    </w:p>
    <w:p w14:paraId="3D3AF11F" w14:textId="77777777" w:rsidR="00CB3CC6" w:rsidRPr="00E269CE" w:rsidRDefault="00CB3CC6" w:rsidP="00CB3CC6">
      <w:pPr>
        <w:rPr>
          <w:lang w:val="en-GB"/>
        </w:rPr>
      </w:pPr>
    </w:p>
    <w:p w14:paraId="19410E20" w14:textId="42033973" w:rsidR="00CB3CC6" w:rsidRPr="00E269CE" w:rsidRDefault="00CB3CC6" w:rsidP="00CB3CC6">
      <w:pPr>
        <w:rPr>
          <w:lang w:val="en-GB"/>
        </w:rPr>
      </w:pPr>
      <w:r w:rsidRPr="00E269CE">
        <w:rPr>
          <w:lang w:val="en-GB"/>
        </w:rPr>
        <w:t xml:space="preserve">Faults are classified jointly by the Parties in connection with the Customer’s report on the Fault. In case of disagreement as to classification of the Fault, the provisions of clause </w:t>
      </w:r>
      <w:r w:rsidR="00B17CFB" w:rsidRPr="00E269CE">
        <w:rPr>
          <w:lang w:val="en-GB"/>
        </w:rPr>
        <w:t>14.3</w:t>
      </w:r>
      <w:r w:rsidR="00A8075C" w:rsidRPr="00E269CE">
        <w:rPr>
          <w:lang w:val="en-GB"/>
        </w:rPr>
        <w:t xml:space="preserve"> of the main Contract</w:t>
      </w:r>
      <w:r w:rsidRPr="00E269CE">
        <w:rPr>
          <w:lang w:val="en-GB"/>
        </w:rPr>
        <w:t xml:space="preserve"> will apply. Pending a resolution of the disagreement as to the reported Fault, the Supplier must remedy the Fault in relation to the Customer’s classification. </w:t>
      </w:r>
    </w:p>
    <w:p w14:paraId="6FC7AF9F" w14:textId="77777777" w:rsidR="00CB3CC6" w:rsidRPr="00E269CE" w:rsidRDefault="00CB3CC6" w:rsidP="00CB3CC6">
      <w:pPr>
        <w:rPr>
          <w:lang w:val="en-GB"/>
        </w:rPr>
      </w:pPr>
      <w:r w:rsidRPr="00E269CE">
        <w:rPr>
          <w:lang w:val="en-GB"/>
        </w:rPr>
        <w:t xml:space="preserve"> </w:t>
      </w:r>
    </w:p>
    <w:p w14:paraId="5AA96A56" w14:textId="1526D92F" w:rsidR="00CB3CC6" w:rsidRPr="00E269CE" w:rsidRDefault="00CB3CC6" w:rsidP="00CB3CC6">
      <w:pPr>
        <w:rPr>
          <w:lang w:val="en-GB"/>
        </w:rPr>
      </w:pPr>
      <w:r w:rsidRPr="00E269CE">
        <w:rPr>
          <w:lang w:val="en-GB"/>
        </w:rPr>
        <w:t xml:space="preserve">The time limits for commenced and completed corrective action start to run on the date when the Supplier has received the Customer’s exhaustive complaint, until the date when the Supplier has commenced corrective action or has remedied the Fault and has notified the Customer accordingly. If the Supplier uses remote diagnosis by agreement with the Customer, any corrective action will be deemed to have been commenced at the date when the Supplier has established or attempted to establish the agreed connection. </w:t>
      </w:r>
    </w:p>
    <w:p w14:paraId="705E7324" w14:textId="77777777" w:rsidR="00CC384C" w:rsidRPr="00E269CE" w:rsidRDefault="00CC384C" w:rsidP="00CC384C">
      <w:pPr>
        <w:tabs>
          <w:tab w:val="left" w:pos="805"/>
        </w:tabs>
        <w:spacing w:line="360" w:lineRule="auto"/>
        <w:rPr>
          <w:lang w:val="en-US"/>
        </w:rPr>
      </w:pPr>
    </w:p>
    <w:p w14:paraId="72741E1E" w14:textId="450E02A1" w:rsidR="00CC384C" w:rsidRPr="00E269CE" w:rsidRDefault="00CC384C" w:rsidP="00CC384C">
      <w:pPr>
        <w:tabs>
          <w:tab w:val="left" w:pos="805"/>
        </w:tabs>
        <w:rPr>
          <w:lang w:val="en-US"/>
        </w:rPr>
      </w:pPr>
      <w:r w:rsidRPr="00E269CE">
        <w:rPr>
          <w:lang w:val="en-US"/>
        </w:rPr>
        <w:t>The Supplier offers free telephone support during office hours.</w:t>
      </w:r>
    </w:p>
    <w:p w14:paraId="30613D95" w14:textId="77777777" w:rsidR="00CB3CC6" w:rsidRPr="00E269CE" w:rsidRDefault="00CB3CC6" w:rsidP="00CB3CC6">
      <w:pPr>
        <w:widowControl w:val="0"/>
        <w:tabs>
          <w:tab w:val="left" w:pos="1728"/>
          <w:tab w:val="left" w:pos="3024"/>
          <w:tab w:val="left" w:pos="4320"/>
          <w:tab w:val="left" w:pos="5616"/>
          <w:tab w:val="left" w:pos="6912"/>
          <w:tab w:val="left" w:pos="8208"/>
          <w:tab w:val="left" w:pos="8640"/>
          <w:tab w:val="left" w:pos="9360"/>
          <w:tab w:val="left" w:pos="10080"/>
        </w:tabs>
        <w:rPr>
          <w:lang w:val="en-US"/>
        </w:rPr>
      </w:pPr>
    </w:p>
    <w:p w14:paraId="1D845CE4" w14:textId="77777777" w:rsidR="00CB3CC6" w:rsidRPr="00E269CE" w:rsidRDefault="00CB3CC6" w:rsidP="00CB3CC6">
      <w:pPr>
        <w:pStyle w:val="Overskrift2"/>
        <w:rPr>
          <w:lang w:val="en-GB"/>
        </w:rPr>
      </w:pPr>
      <w:bookmarkStart w:id="5" w:name="_Ref114980278"/>
      <w:bookmarkStart w:id="6" w:name="_Toc191439121"/>
      <w:bookmarkStart w:id="7" w:name="_Toc477945231"/>
      <w:r w:rsidRPr="00E269CE">
        <w:rPr>
          <w:lang w:val="en-GB"/>
        </w:rPr>
        <w:lastRenderedPageBreak/>
        <w:t>Performance</w:t>
      </w:r>
      <w:bookmarkEnd w:id="5"/>
      <w:bookmarkEnd w:id="6"/>
      <w:bookmarkEnd w:id="7"/>
    </w:p>
    <w:p w14:paraId="79EC4F8C" w14:textId="38C1D480" w:rsidR="00CB3CC6" w:rsidRPr="00E269CE" w:rsidRDefault="00371B4A" w:rsidP="00CB3CC6">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sidRPr="00E269CE">
        <w:rPr>
          <w:lang w:val="en-GB"/>
        </w:rPr>
        <w:t>The Supplier schedules at least one yearly preventive maintenance visit, during with the instrument and its detectors and software are recalibrated and serviced. Corrective action and other maintenance work must be planned and performed so as to cause the least possible inconvenience to the Customer.</w:t>
      </w:r>
    </w:p>
    <w:p w14:paraId="79B49AF4" w14:textId="77777777" w:rsidR="00CB3CC6" w:rsidRPr="00E269CE" w:rsidRDefault="00CB3CC6" w:rsidP="00CB3CC6">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p>
    <w:p w14:paraId="09E1AF80" w14:textId="197FB853" w:rsidR="00371B4A" w:rsidRPr="00E269CE" w:rsidRDefault="00CB3CC6" w:rsidP="00371B4A">
      <w:pPr>
        <w:rPr>
          <w:lang w:val="en-GB"/>
        </w:rPr>
      </w:pPr>
      <w:r w:rsidRPr="00E269CE">
        <w:rPr>
          <w:lang w:val="en-GB"/>
        </w:rPr>
        <w:t>In case of maintenance work carried out at the Supplier’s instance, and where it has not been determined in advance when the Supplier is to carry out maintenance, the Customer must, if possible, be given not less than 10 Working Days’ prior notice thereof</w:t>
      </w:r>
      <w:r w:rsidR="00371B4A" w:rsidRPr="00E269CE">
        <w:rPr>
          <w:lang w:val="en-GB"/>
        </w:rPr>
        <w:t>. However, the visit must be scheduled including GEUS preferences when determining the optimal time slot.</w:t>
      </w:r>
    </w:p>
    <w:p w14:paraId="1EFF8D65" w14:textId="77777777" w:rsidR="00CB3CC6" w:rsidRPr="00E269CE" w:rsidRDefault="00CB3CC6" w:rsidP="00CB3CC6">
      <w:pPr>
        <w:rPr>
          <w:lang w:val="en-GB"/>
        </w:rPr>
      </w:pPr>
    </w:p>
    <w:p w14:paraId="4CE01E14" w14:textId="77777777" w:rsidR="00CB3CC6" w:rsidRPr="00E269CE" w:rsidRDefault="00CB3CC6" w:rsidP="00CB3CC6">
      <w:pPr>
        <w:rPr>
          <w:lang w:val="en-GB"/>
        </w:rPr>
      </w:pPr>
      <w:r w:rsidRPr="00E269CE">
        <w:rPr>
          <w:lang w:val="en-GB"/>
        </w:rPr>
        <w:t>The Customer may demand that maintenance work be carried out outside the Customer’s business hours. In that case, the Customer will pay an additional charge in accordance with Appendix 5, irrespective of the cause of the maintenance work.</w:t>
      </w:r>
    </w:p>
    <w:p w14:paraId="4CEEBC8E" w14:textId="77777777" w:rsidR="00CB3CC6" w:rsidRPr="00E269CE" w:rsidRDefault="00CB3CC6" w:rsidP="00CB3CC6">
      <w:pPr>
        <w:rPr>
          <w:lang w:val="en-GB"/>
        </w:rPr>
      </w:pPr>
    </w:p>
    <w:p w14:paraId="7DC484E0" w14:textId="091AA71C" w:rsidR="00CB3CC6" w:rsidRPr="00E269CE" w:rsidRDefault="00CB3CC6" w:rsidP="00CB3CC6">
      <w:pPr>
        <w:rPr>
          <w:lang w:val="en-GB"/>
        </w:rPr>
      </w:pPr>
      <w:r w:rsidRPr="00E269CE">
        <w:rPr>
          <w:lang w:val="en-GB"/>
        </w:rPr>
        <w:t xml:space="preserve">If maintenance work requires the Customer’s use to be interrupted in full or in part, the Supplier must obtain prior permission from the Customer to do so. If the Customer refuses to grant such permission immediately following the Supplier’s request, this shall be deemed to constitute a postponement of the maintenance work in question at the Customer’s request.  If the postponed maintenance gives rise to a failure to achieve service level goals, or any other requirements, the Supplier will not be liable therefor during the postponement of the maintenance. </w:t>
      </w:r>
    </w:p>
    <w:p w14:paraId="772A77CA" w14:textId="77777777" w:rsidR="00CB3CC6" w:rsidRPr="00E269CE" w:rsidRDefault="00CB3CC6" w:rsidP="00CB3CC6">
      <w:pPr>
        <w:rPr>
          <w:lang w:val="en-GB"/>
        </w:rPr>
      </w:pPr>
    </w:p>
    <w:p w14:paraId="3342684F" w14:textId="77777777" w:rsidR="00CB3CC6" w:rsidRPr="00E269CE" w:rsidRDefault="00CB3CC6" w:rsidP="00CB3CC6">
      <w:pPr>
        <w:rPr>
          <w:lang w:val="en-GB"/>
        </w:rPr>
      </w:pPr>
      <w:r w:rsidRPr="00E269CE">
        <w:rPr>
          <w:lang w:val="en-GB"/>
        </w:rPr>
        <w:t xml:space="preserve">In the course of corrective action, the Supplier must keep the Customer informed of the progress thereof on a daily basis. </w:t>
      </w:r>
    </w:p>
    <w:p w14:paraId="569409C7" w14:textId="77777777" w:rsidR="007E02E8" w:rsidRPr="00E269CE" w:rsidRDefault="007E02E8" w:rsidP="00CB3CC6">
      <w:pPr>
        <w:spacing w:after="200" w:line="276" w:lineRule="auto"/>
        <w:jc w:val="left"/>
        <w:rPr>
          <w:b/>
          <w:sz w:val="22"/>
          <w:szCs w:val="22"/>
          <w:lang w:val="en-GB"/>
        </w:rPr>
      </w:pPr>
    </w:p>
    <w:p w14:paraId="62E1AB60" w14:textId="77777777" w:rsidR="00971812" w:rsidRPr="00E269CE" w:rsidRDefault="00971812" w:rsidP="00971812">
      <w:pPr>
        <w:rPr>
          <w:lang w:val="en-GB"/>
        </w:rPr>
      </w:pPr>
    </w:p>
    <w:p w14:paraId="51B8D7EE" w14:textId="43A4E09C" w:rsidR="00971812" w:rsidRPr="00E269CE" w:rsidRDefault="0084494A" w:rsidP="00971812">
      <w:pPr>
        <w:rPr>
          <w:lang w:val="en-US"/>
        </w:rPr>
      </w:pPr>
      <w:r w:rsidRPr="00E269CE">
        <w:rPr>
          <w:lang w:val="en-US"/>
        </w:rPr>
        <w:t xml:space="preserve"> </w:t>
      </w:r>
    </w:p>
    <w:p w14:paraId="7B11997D" w14:textId="77777777" w:rsidR="00971812" w:rsidRPr="00CB3CC6" w:rsidRDefault="00971812" w:rsidP="00CB3CC6">
      <w:pPr>
        <w:spacing w:after="200" w:line="276" w:lineRule="auto"/>
        <w:jc w:val="left"/>
        <w:rPr>
          <w:b/>
          <w:sz w:val="22"/>
          <w:szCs w:val="22"/>
          <w:lang w:val="en-GB"/>
        </w:rPr>
      </w:pPr>
    </w:p>
    <w:sectPr w:rsidR="00971812" w:rsidRPr="00CB3CC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2BE3D" w15:done="0"/>
  <w15:commentEx w15:paraId="397915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F0A4" w14:textId="77777777" w:rsidR="003D3B36" w:rsidRDefault="003D3B36" w:rsidP="0023568F">
      <w:r>
        <w:separator/>
      </w:r>
    </w:p>
  </w:endnote>
  <w:endnote w:type="continuationSeparator" w:id="0">
    <w:p w14:paraId="4FDFF521" w14:textId="77777777" w:rsidR="003D3B36" w:rsidRDefault="003D3B36" w:rsidP="0023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D36D" w14:textId="77777777" w:rsidR="00023253" w:rsidRDefault="0002325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C853" w14:textId="77777777" w:rsidR="00023253" w:rsidRDefault="0002325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2317" w14:textId="77777777" w:rsidR="00023253" w:rsidRDefault="000232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1166" w14:textId="77777777" w:rsidR="003D3B36" w:rsidRDefault="003D3B36" w:rsidP="0023568F">
      <w:r>
        <w:separator/>
      </w:r>
    </w:p>
  </w:footnote>
  <w:footnote w:type="continuationSeparator" w:id="0">
    <w:p w14:paraId="4526576A" w14:textId="77777777" w:rsidR="003D3B36" w:rsidRDefault="003D3B36" w:rsidP="0023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78081" w14:textId="77777777" w:rsidR="00023253" w:rsidRDefault="0002325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948D" w14:textId="74FCAB88" w:rsidR="00E269CE" w:rsidRDefault="00023253" w:rsidP="00023253">
    <w:pPr>
      <w:pStyle w:val="Sidehoved"/>
      <w:rPr>
        <w:sz w:val="20"/>
        <w:lang w:val="en-US"/>
      </w:rPr>
    </w:pPr>
    <w:r>
      <w:rPr>
        <w:sz w:val="20"/>
        <w:lang w:val="en-US"/>
      </w:rPr>
      <w:t>EUTS 2017/S 071-134374</w:t>
    </w:r>
    <w:bookmarkStart w:id="8" w:name="_GoBack"/>
    <w:bookmarkEnd w:id="8"/>
    <w:r>
      <w:rPr>
        <w:sz w:val="20"/>
        <w:lang w:val="en-US"/>
      </w:rPr>
      <w:tab/>
    </w:r>
    <w:r>
      <w:rPr>
        <w:sz w:val="20"/>
        <w:lang w:val="en-US"/>
      </w:rPr>
      <w:tab/>
    </w:r>
    <w:r w:rsidR="00E269CE">
      <w:rPr>
        <w:sz w:val="20"/>
        <w:lang w:val="en-US"/>
      </w:rPr>
      <w:t xml:space="preserve">Purchase of a new SEM </w:t>
    </w:r>
  </w:p>
  <w:p w14:paraId="6A4DBF0F" w14:textId="42FC90E3" w:rsidR="00E269CE" w:rsidRDefault="00023253" w:rsidP="00023253">
    <w:pPr>
      <w:pStyle w:val="Sidehoved"/>
      <w:rPr>
        <w:sz w:val="20"/>
        <w:lang w:val="en-US"/>
      </w:rPr>
    </w:pPr>
    <w:r>
      <w:rPr>
        <w:sz w:val="20"/>
        <w:lang w:val="en-US"/>
      </w:rPr>
      <w:t>2017-04723</w:t>
    </w:r>
    <w:r>
      <w:rPr>
        <w:sz w:val="20"/>
        <w:lang w:val="en-US"/>
      </w:rPr>
      <w:tab/>
    </w:r>
    <w:r>
      <w:rPr>
        <w:sz w:val="20"/>
        <w:lang w:val="en-US"/>
      </w:rPr>
      <w:tab/>
    </w:r>
    <w:r w:rsidR="00E269CE">
      <w:rPr>
        <w:sz w:val="20"/>
        <w:lang w:val="en-US"/>
      </w:rPr>
      <w:t xml:space="preserve">with automated mineralogy software </w:t>
    </w:r>
  </w:p>
  <w:p w14:paraId="4172C2CB" w14:textId="2462D867" w:rsidR="00E269CE" w:rsidRPr="00023253" w:rsidRDefault="00E269CE" w:rsidP="00E269CE">
    <w:pPr>
      <w:pStyle w:val="Sidehoved"/>
      <w:jc w:val="right"/>
      <w:rPr>
        <w:lang w:val="en-US"/>
      </w:rPr>
    </w:pPr>
    <w:r>
      <w:rPr>
        <w:rStyle w:val="InitialStyle"/>
        <w:sz w:val="20"/>
        <w:lang w:val="en-US"/>
      </w:rPr>
      <w:t>GEUS J.no. 046-0016</w:t>
    </w:r>
  </w:p>
  <w:p w14:paraId="6764486A" w14:textId="77777777" w:rsidR="003D3B36" w:rsidRPr="0023568F" w:rsidRDefault="003D3B36">
    <w:pPr>
      <w:pStyle w:val="Sidehoved"/>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C4EE" w14:textId="77777777" w:rsidR="00023253" w:rsidRDefault="0002325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94C"/>
    <w:multiLevelType w:val="hybridMultilevel"/>
    <w:tmpl w:val="79E6E006"/>
    <w:lvl w:ilvl="0" w:tplc="102A597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C3DE0"/>
    <w:multiLevelType w:val="multilevel"/>
    <w:tmpl w:val="B198821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AC580A"/>
    <w:multiLevelType w:val="hybridMultilevel"/>
    <w:tmpl w:val="77022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DC1980"/>
    <w:multiLevelType w:val="hybridMultilevel"/>
    <w:tmpl w:val="1FE61242"/>
    <w:lvl w:ilvl="0" w:tplc="0B4A8CE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56C03"/>
    <w:multiLevelType w:val="hybridMultilevel"/>
    <w:tmpl w:val="190AFEF4"/>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62E5B8D"/>
    <w:multiLevelType w:val="hybridMultilevel"/>
    <w:tmpl w:val="093EDA46"/>
    <w:lvl w:ilvl="0" w:tplc="0B4A8CE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E7581"/>
    <w:multiLevelType w:val="hybridMultilevel"/>
    <w:tmpl w:val="CE02D050"/>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454954"/>
    <w:multiLevelType w:val="hybridMultilevel"/>
    <w:tmpl w:val="85CC47DA"/>
    <w:lvl w:ilvl="0" w:tplc="5FDAB3F0">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B5D65"/>
    <w:multiLevelType w:val="hybridMultilevel"/>
    <w:tmpl w:val="50123112"/>
    <w:lvl w:ilvl="0" w:tplc="102A597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C4B9E"/>
    <w:multiLevelType w:val="hybridMultilevel"/>
    <w:tmpl w:val="425C1C04"/>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0CA16BD"/>
    <w:multiLevelType w:val="hybridMultilevel"/>
    <w:tmpl w:val="5D423948"/>
    <w:lvl w:ilvl="0" w:tplc="C526D9CE">
      <w:numFmt w:val="bullet"/>
      <w:lvlText w:val="•"/>
      <w:lvlJc w:val="left"/>
      <w:pPr>
        <w:ind w:left="930" w:hanging="57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17C4E36"/>
    <w:multiLevelType w:val="hybridMultilevel"/>
    <w:tmpl w:val="889664A0"/>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37C796D"/>
    <w:multiLevelType w:val="hybridMultilevel"/>
    <w:tmpl w:val="3C06075C"/>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D0D0318"/>
    <w:multiLevelType w:val="hybridMultilevel"/>
    <w:tmpl w:val="A5FE9EEC"/>
    <w:lvl w:ilvl="0" w:tplc="5FDAB3F0">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BD1EBA"/>
    <w:multiLevelType w:val="hybridMultilevel"/>
    <w:tmpl w:val="EF2A9F52"/>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41D69FC"/>
    <w:multiLevelType w:val="hybridMultilevel"/>
    <w:tmpl w:val="92265B2C"/>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9E255D9"/>
    <w:multiLevelType w:val="hybridMultilevel"/>
    <w:tmpl w:val="6888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956CD9"/>
    <w:multiLevelType w:val="hybridMultilevel"/>
    <w:tmpl w:val="D638A472"/>
    <w:lvl w:ilvl="0" w:tplc="102A597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C28D3"/>
    <w:multiLevelType w:val="hybridMultilevel"/>
    <w:tmpl w:val="211A3E90"/>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7"/>
  </w:num>
  <w:num w:numId="5">
    <w:abstractNumId w:val="13"/>
  </w:num>
  <w:num w:numId="6">
    <w:abstractNumId w:val="17"/>
  </w:num>
  <w:num w:numId="7">
    <w:abstractNumId w:val="8"/>
  </w:num>
  <w:num w:numId="8">
    <w:abstractNumId w:val="0"/>
  </w:num>
  <w:num w:numId="9">
    <w:abstractNumId w:val="2"/>
  </w:num>
  <w:num w:numId="10">
    <w:abstractNumId w:val="6"/>
  </w:num>
  <w:num w:numId="11">
    <w:abstractNumId w:val="12"/>
  </w:num>
  <w:num w:numId="12">
    <w:abstractNumId w:val="14"/>
  </w:num>
  <w:num w:numId="13">
    <w:abstractNumId w:val="9"/>
  </w:num>
  <w:num w:numId="14">
    <w:abstractNumId w:val="18"/>
  </w:num>
  <w:num w:numId="15">
    <w:abstractNumId w:val="15"/>
  </w:num>
  <w:num w:numId="16">
    <w:abstractNumId w:val="4"/>
  </w:num>
  <w:num w:numId="17">
    <w:abstractNumId w:val="11"/>
  </w:num>
  <w:num w:numId="18">
    <w:abstractNumId w:val="10"/>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bel, Rikke">
    <w15:presenceInfo w15:providerId="AD" w15:userId="S-1-5-21-173102327-461848822-24515486-5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0D"/>
    <w:rsid w:val="00023253"/>
    <w:rsid w:val="00051B2A"/>
    <w:rsid w:val="0006260C"/>
    <w:rsid w:val="000813DD"/>
    <w:rsid w:val="00083EBF"/>
    <w:rsid w:val="000920C1"/>
    <w:rsid w:val="00102B49"/>
    <w:rsid w:val="00122C27"/>
    <w:rsid w:val="001B5955"/>
    <w:rsid w:val="001B6C65"/>
    <w:rsid w:val="001F63CA"/>
    <w:rsid w:val="0023568F"/>
    <w:rsid w:val="002701B7"/>
    <w:rsid w:val="00292EAB"/>
    <w:rsid w:val="002F4B20"/>
    <w:rsid w:val="002F6A72"/>
    <w:rsid w:val="00321D2F"/>
    <w:rsid w:val="003576CD"/>
    <w:rsid w:val="00371B4A"/>
    <w:rsid w:val="003D3910"/>
    <w:rsid w:val="003D3B36"/>
    <w:rsid w:val="003E08E5"/>
    <w:rsid w:val="00472A17"/>
    <w:rsid w:val="004A0B0D"/>
    <w:rsid w:val="004B7D6E"/>
    <w:rsid w:val="004C0FD2"/>
    <w:rsid w:val="005C17FA"/>
    <w:rsid w:val="005F4890"/>
    <w:rsid w:val="00606FD3"/>
    <w:rsid w:val="00641DBA"/>
    <w:rsid w:val="0066349D"/>
    <w:rsid w:val="006A533E"/>
    <w:rsid w:val="006C6A88"/>
    <w:rsid w:val="00744083"/>
    <w:rsid w:val="00780AAC"/>
    <w:rsid w:val="00791397"/>
    <w:rsid w:val="007D7ADE"/>
    <w:rsid w:val="007E02E8"/>
    <w:rsid w:val="007E3B62"/>
    <w:rsid w:val="008350F0"/>
    <w:rsid w:val="00836061"/>
    <w:rsid w:val="0084494A"/>
    <w:rsid w:val="008875AC"/>
    <w:rsid w:val="00895178"/>
    <w:rsid w:val="00943E5E"/>
    <w:rsid w:val="00971812"/>
    <w:rsid w:val="00976191"/>
    <w:rsid w:val="00A734E6"/>
    <w:rsid w:val="00A8075C"/>
    <w:rsid w:val="00A91F7A"/>
    <w:rsid w:val="00AB2737"/>
    <w:rsid w:val="00AC0DE8"/>
    <w:rsid w:val="00B17CFB"/>
    <w:rsid w:val="00B438E1"/>
    <w:rsid w:val="00BA4A75"/>
    <w:rsid w:val="00C36ECF"/>
    <w:rsid w:val="00CB3CC6"/>
    <w:rsid w:val="00CB6208"/>
    <w:rsid w:val="00CC384C"/>
    <w:rsid w:val="00CD0189"/>
    <w:rsid w:val="00CD2BB0"/>
    <w:rsid w:val="00D26304"/>
    <w:rsid w:val="00D83064"/>
    <w:rsid w:val="00DF56AF"/>
    <w:rsid w:val="00E247E6"/>
    <w:rsid w:val="00E269CE"/>
    <w:rsid w:val="00E54A14"/>
    <w:rsid w:val="00E829E6"/>
    <w:rsid w:val="00EA0D5B"/>
    <w:rsid w:val="00FE2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83"/>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CB3CC6"/>
    <w:pPr>
      <w:keepNext/>
      <w:numPr>
        <w:numId w:val="19"/>
      </w:numPr>
      <w:tabs>
        <w:tab w:val="clear" w:pos="1134"/>
        <w:tab w:val="clear" w:pos="1701"/>
      </w:tabs>
      <w:spacing w:after="160"/>
      <w:outlineLvl w:val="0"/>
    </w:pPr>
    <w:rPr>
      <w:b/>
      <w:caps/>
    </w:rPr>
  </w:style>
  <w:style w:type="paragraph" w:styleId="Overskrift2">
    <w:name w:val="heading 2"/>
    <w:basedOn w:val="Normal"/>
    <w:next w:val="Normal"/>
    <w:link w:val="Overskrift2Tegn"/>
    <w:qFormat/>
    <w:rsid w:val="00CB3CC6"/>
    <w:pPr>
      <w:keepNext/>
      <w:numPr>
        <w:ilvl w:val="1"/>
        <w:numId w:val="19"/>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uiPriority w:val="99"/>
    <w:qFormat/>
    <w:rsid w:val="00CB3CC6"/>
    <w:pPr>
      <w:keepNext/>
      <w:numPr>
        <w:ilvl w:val="2"/>
        <w:numId w:val="19"/>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uiPriority w:val="99"/>
    <w:qFormat/>
    <w:rsid w:val="00CB3CC6"/>
    <w:pPr>
      <w:keepNext/>
      <w:numPr>
        <w:ilvl w:val="3"/>
        <w:numId w:val="19"/>
      </w:numPr>
      <w:tabs>
        <w:tab w:val="clear" w:pos="567"/>
        <w:tab w:val="clear" w:pos="1134"/>
        <w:tab w:val="clear" w:pos="1701"/>
      </w:tabs>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4A0B0D"/>
    <w:pPr>
      <w:tabs>
        <w:tab w:val="clear" w:pos="567"/>
        <w:tab w:val="clear" w:pos="1134"/>
        <w:tab w:val="clear" w:pos="1701"/>
      </w:tabs>
      <w:overflowPunct/>
      <w:autoSpaceDE/>
      <w:autoSpaceDN/>
      <w:adjustRightInd/>
      <w:spacing w:after="120" w:line="240" w:lineRule="atLeast"/>
      <w:jc w:val="left"/>
      <w:textAlignment w:val="auto"/>
    </w:pPr>
    <w:rPr>
      <w:rFonts w:ascii="Verdana" w:hAnsi="Verdana"/>
      <w:bCs w:val="0"/>
      <w:sz w:val="18"/>
      <w:szCs w:val="24"/>
    </w:rPr>
  </w:style>
  <w:style w:type="character" w:customStyle="1" w:styleId="BrdtekstTegn">
    <w:name w:val="Brødtekst Tegn"/>
    <w:basedOn w:val="Standardskrifttypeiafsnit"/>
    <w:link w:val="Brdtekst"/>
    <w:rsid w:val="004A0B0D"/>
    <w:rPr>
      <w:rFonts w:ascii="Verdana" w:eastAsia="Times New Roman" w:hAnsi="Verdana" w:cs="Times New Roman"/>
      <w:sz w:val="18"/>
      <w:szCs w:val="24"/>
      <w:lang w:eastAsia="da-DK"/>
    </w:rPr>
  </w:style>
  <w:style w:type="paragraph" w:styleId="Sidehoved">
    <w:name w:val="header"/>
    <w:basedOn w:val="Normal"/>
    <w:link w:val="SidehovedTegn"/>
    <w:uiPriority w:val="99"/>
    <w:unhideWhenUsed/>
    <w:rsid w:val="0023568F"/>
    <w:pPr>
      <w:tabs>
        <w:tab w:val="clear" w:pos="567"/>
        <w:tab w:val="clear" w:pos="1134"/>
        <w:tab w:val="clear" w:pos="1701"/>
        <w:tab w:val="center" w:pos="4819"/>
        <w:tab w:val="right" w:pos="9638"/>
      </w:tabs>
    </w:pPr>
  </w:style>
  <w:style w:type="character" w:customStyle="1" w:styleId="SidehovedTegn">
    <w:name w:val="Sidehoved Tegn"/>
    <w:basedOn w:val="Standardskrifttypeiafsnit"/>
    <w:link w:val="Sidehoved"/>
    <w:uiPriority w:val="99"/>
    <w:rsid w:val="0023568F"/>
    <w:rPr>
      <w:rFonts w:ascii="Times New Roman" w:eastAsia="Times New Roman" w:hAnsi="Times New Roman" w:cs="Times New Roman"/>
      <w:bCs/>
      <w:sz w:val="23"/>
      <w:szCs w:val="20"/>
      <w:lang w:eastAsia="da-DK"/>
    </w:rPr>
  </w:style>
  <w:style w:type="paragraph" w:styleId="Sidefod">
    <w:name w:val="footer"/>
    <w:basedOn w:val="Normal"/>
    <w:link w:val="SidefodTegn"/>
    <w:unhideWhenUsed/>
    <w:rsid w:val="0023568F"/>
    <w:pPr>
      <w:tabs>
        <w:tab w:val="clear" w:pos="567"/>
        <w:tab w:val="clear" w:pos="1134"/>
        <w:tab w:val="clear" w:pos="1701"/>
        <w:tab w:val="center" w:pos="4819"/>
        <w:tab w:val="right" w:pos="9638"/>
      </w:tabs>
    </w:pPr>
  </w:style>
  <w:style w:type="character" w:customStyle="1" w:styleId="SidefodTegn">
    <w:name w:val="Sidefod Tegn"/>
    <w:basedOn w:val="Standardskrifttypeiafsnit"/>
    <w:link w:val="Sidefod"/>
    <w:rsid w:val="0023568F"/>
    <w:rPr>
      <w:rFonts w:ascii="Times New Roman" w:eastAsia="Times New Roman" w:hAnsi="Times New Roman" w:cs="Times New Roman"/>
      <w:bCs/>
      <w:sz w:val="23"/>
      <w:szCs w:val="20"/>
      <w:lang w:eastAsia="da-DK"/>
    </w:rPr>
  </w:style>
  <w:style w:type="paragraph" w:styleId="Markeringsbobletekst">
    <w:name w:val="Balloon Text"/>
    <w:basedOn w:val="Normal"/>
    <w:link w:val="MarkeringsbobletekstTegn"/>
    <w:uiPriority w:val="99"/>
    <w:semiHidden/>
    <w:unhideWhenUsed/>
    <w:rsid w:val="002356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68F"/>
    <w:rPr>
      <w:rFonts w:ascii="Tahoma" w:eastAsia="Times New Roman" w:hAnsi="Tahoma" w:cs="Tahoma"/>
      <w:bCs/>
      <w:sz w:val="16"/>
      <w:szCs w:val="16"/>
      <w:lang w:eastAsia="da-DK"/>
    </w:rPr>
  </w:style>
  <w:style w:type="character" w:customStyle="1" w:styleId="InitialStyle">
    <w:name w:val="InitialStyle"/>
    <w:rsid w:val="0023568F"/>
    <w:rPr>
      <w:rFonts w:ascii="Times New Roman" w:hAnsi="Times New Roman" w:cs="Times New Roman" w:hint="default"/>
      <w:color w:val="auto"/>
      <w:spacing w:val="0"/>
      <w:sz w:val="24"/>
    </w:rPr>
  </w:style>
  <w:style w:type="table" w:styleId="Tabel-Gitter">
    <w:name w:val="Table Grid"/>
    <w:basedOn w:val="Tabel-Normal"/>
    <w:rsid w:val="00081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8E1"/>
    <w:pPr>
      <w:ind w:left="720"/>
      <w:contextualSpacing/>
    </w:pPr>
  </w:style>
  <w:style w:type="character" w:styleId="Kommentarhenvisning">
    <w:name w:val="annotation reference"/>
    <w:basedOn w:val="Standardskrifttypeiafsnit"/>
    <w:uiPriority w:val="99"/>
    <w:unhideWhenUsed/>
    <w:rsid w:val="00836061"/>
    <w:rPr>
      <w:sz w:val="16"/>
      <w:szCs w:val="16"/>
    </w:rPr>
  </w:style>
  <w:style w:type="paragraph" w:styleId="Kommentartekst">
    <w:name w:val="annotation text"/>
    <w:basedOn w:val="Normal"/>
    <w:link w:val="KommentartekstTegn"/>
    <w:unhideWhenUsed/>
    <w:rsid w:val="00836061"/>
    <w:rPr>
      <w:sz w:val="20"/>
    </w:rPr>
  </w:style>
  <w:style w:type="character" w:customStyle="1" w:styleId="KommentartekstTegn">
    <w:name w:val="Kommentartekst Tegn"/>
    <w:basedOn w:val="Standardskrifttypeiafsnit"/>
    <w:link w:val="Kommentartekst"/>
    <w:rsid w:val="00836061"/>
    <w:rPr>
      <w:rFonts w:ascii="Times New Roman" w:eastAsia="Times New Roman" w:hAnsi="Times New Roman" w:cs="Times New Roman"/>
      <w:bCs/>
      <w:sz w:val="20"/>
      <w:szCs w:val="20"/>
      <w:lang w:eastAsia="da-DK"/>
    </w:rPr>
  </w:style>
  <w:style w:type="paragraph" w:styleId="Kommentaremne">
    <w:name w:val="annotation subject"/>
    <w:basedOn w:val="Kommentartekst"/>
    <w:next w:val="Kommentartekst"/>
    <w:link w:val="KommentaremneTegn"/>
    <w:uiPriority w:val="99"/>
    <w:semiHidden/>
    <w:unhideWhenUsed/>
    <w:rsid w:val="00836061"/>
    <w:rPr>
      <w:b/>
    </w:rPr>
  </w:style>
  <w:style w:type="character" w:customStyle="1" w:styleId="KommentaremneTegn">
    <w:name w:val="Kommentaremne Tegn"/>
    <w:basedOn w:val="KommentartekstTegn"/>
    <w:link w:val="Kommentaremne"/>
    <w:uiPriority w:val="99"/>
    <w:semiHidden/>
    <w:rsid w:val="00836061"/>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rsid w:val="00CB3CC6"/>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CB3CC6"/>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uiPriority w:val="99"/>
    <w:rsid w:val="00CB3CC6"/>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uiPriority w:val="99"/>
    <w:rsid w:val="00CB3CC6"/>
    <w:rPr>
      <w:rFonts w:ascii="Times New Roman" w:eastAsia="Times New Roman" w:hAnsi="Times New Roman" w:cs="Times New Roman"/>
      <w:bCs/>
      <w:i/>
      <w:sz w:val="23"/>
      <w:szCs w:val="28"/>
      <w:lang w:eastAsia="da-DK"/>
    </w:rPr>
  </w:style>
  <w:style w:type="paragraph" w:customStyle="1" w:styleId="adresseskrift">
    <w:name w:val="adresseskrift"/>
    <w:basedOn w:val="Normal"/>
    <w:rsid w:val="00E269CE"/>
    <w:pPr>
      <w:framePr w:w="2160" w:h="1389" w:hRule="exact" w:hSpace="142" w:vSpace="142" w:wrap="around" w:vAnchor="page" w:hAnchor="page" w:x="9413" w:y="1498" w:anchorLock="1"/>
      <w:suppressAutoHyphens/>
      <w:jc w:val="left"/>
    </w:pPr>
    <w:rPr>
      <w:rFonts w:eastAsia="MS Mincho" w:cs="Tahoma"/>
      <w:bCs w:val="0"/>
      <w:color w:val="000000"/>
      <w:spacing w:val="-1"/>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83"/>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CB3CC6"/>
    <w:pPr>
      <w:keepNext/>
      <w:numPr>
        <w:numId w:val="19"/>
      </w:numPr>
      <w:tabs>
        <w:tab w:val="clear" w:pos="1134"/>
        <w:tab w:val="clear" w:pos="1701"/>
      </w:tabs>
      <w:spacing w:after="160"/>
      <w:outlineLvl w:val="0"/>
    </w:pPr>
    <w:rPr>
      <w:b/>
      <w:caps/>
    </w:rPr>
  </w:style>
  <w:style w:type="paragraph" w:styleId="Overskrift2">
    <w:name w:val="heading 2"/>
    <w:basedOn w:val="Normal"/>
    <w:next w:val="Normal"/>
    <w:link w:val="Overskrift2Tegn"/>
    <w:qFormat/>
    <w:rsid w:val="00CB3CC6"/>
    <w:pPr>
      <w:keepNext/>
      <w:numPr>
        <w:ilvl w:val="1"/>
        <w:numId w:val="19"/>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uiPriority w:val="99"/>
    <w:qFormat/>
    <w:rsid w:val="00CB3CC6"/>
    <w:pPr>
      <w:keepNext/>
      <w:numPr>
        <w:ilvl w:val="2"/>
        <w:numId w:val="19"/>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uiPriority w:val="99"/>
    <w:qFormat/>
    <w:rsid w:val="00CB3CC6"/>
    <w:pPr>
      <w:keepNext/>
      <w:numPr>
        <w:ilvl w:val="3"/>
        <w:numId w:val="19"/>
      </w:numPr>
      <w:tabs>
        <w:tab w:val="clear" w:pos="567"/>
        <w:tab w:val="clear" w:pos="1134"/>
        <w:tab w:val="clear" w:pos="1701"/>
      </w:tabs>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4A0B0D"/>
    <w:pPr>
      <w:tabs>
        <w:tab w:val="clear" w:pos="567"/>
        <w:tab w:val="clear" w:pos="1134"/>
        <w:tab w:val="clear" w:pos="1701"/>
      </w:tabs>
      <w:overflowPunct/>
      <w:autoSpaceDE/>
      <w:autoSpaceDN/>
      <w:adjustRightInd/>
      <w:spacing w:after="120" w:line="240" w:lineRule="atLeast"/>
      <w:jc w:val="left"/>
      <w:textAlignment w:val="auto"/>
    </w:pPr>
    <w:rPr>
      <w:rFonts w:ascii="Verdana" w:hAnsi="Verdana"/>
      <w:bCs w:val="0"/>
      <w:sz w:val="18"/>
      <w:szCs w:val="24"/>
    </w:rPr>
  </w:style>
  <w:style w:type="character" w:customStyle="1" w:styleId="BrdtekstTegn">
    <w:name w:val="Brødtekst Tegn"/>
    <w:basedOn w:val="Standardskrifttypeiafsnit"/>
    <w:link w:val="Brdtekst"/>
    <w:rsid w:val="004A0B0D"/>
    <w:rPr>
      <w:rFonts w:ascii="Verdana" w:eastAsia="Times New Roman" w:hAnsi="Verdana" w:cs="Times New Roman"/>
      <w:sz w:val="18"/>
      <w:szCs w:val="24"/>
      <w:lang w:eastAsia="da-DK"/>
    </w:rPr>
  </w:style>
  <w:style w:type="paragraph" w:styleId="Sidehoved">
    <w:name w:val="header"/>
    <w:basedOn w:val="Normal"/>
    <w:link w:val="SidehovedTegn"/>
    <w:uiPriority w:val="99"/>
    <w:unhideWhenUsed/>
    <w:rsid w:val="0023568F"/>
    <w:pPr>
      <w:tabs>
        <w:tab w:val="clear" w:pos="567"/>
        <w:tab w:val="clear" w:pos="1134"/>
        <w:tab w:val="clear" w:pos="1701"/>
        <w:tab w:val="center" w:pos="4819"/>
        <w:tab w:val="right" w:pos="9638"/>
      </w:tabs>
    </w:pPr>
  </w:style>
  <w:style w:type="character" w:customStyle="1" w:styleId="SidehovedTegn">
    <w:name w:val="Sidehoved Tegn"/>
    <w:basedOn w:val="Standardskrifttypeiafsnit"/>
    <w:link w:val="Sidehoved"/>
    <w:uiPriority w:val="99"/>
    <w:rsid w:val="0023568F"/>
    <w:rPr>
      <w:rFonts w:ascii="Times New Roman" w:eastAsia="Times New Roman" w:hAnsi="Times New Roman" w:cs="Times New Roman"/>
      <w:bCs/>
      <w:sz w:val="23"/>
      <w:szCs w:val="20"/>
      <w:lang w:eastAsia="da-DK"/>
    </w:rPr>
  </w:style>
  <w:style w:type="paragraph" w:styleId="Sidefod">
    <w:name w:val="footer"/>
    <w:basedOn w:val="Normal"/>
    <w:link w:val="SidefodTegn"/>
    <w:unhideWhenUsed/>
    <w:rsid w:val="0023568F"/>
    <w:pPr>
      <w:tabs>
        <w:tab w:val="clear" w:pos="567"/>
        <w:tab w:val="clear" w:pos="1134"/>
        <w:tab w:val="clear" w:pos="1701"/>
        <w:tab w:val="center" w:pos="4819"/>
        <w:tab w:val="right" w:pos="9638"/>
      </w:tabs>
    </w:pPr>
  </w:style>
  <w:style w:type="character" w:customStyle="1" w:styleId="SidefodTegn">
    <w:name w:val="Sidefod Tegn"/>
    <w:basedOn w:val="Standardskrifttypeiafsnit"/>
    <w:link w:val="Sidefod"/>
    <w:rsid w:val="0023568F"/>
    <w:rPr>
      <w:rFonts w:ascii="Times New Roman" w:eastAsia="Times New Roman" w:hAnsi="Times New Roman" w:cs="Times New Roman"/>
      <w:bCs/>
      <w:sz w:val="23"/>
      <w:szCs w:val="20"/>
      <w:lang w:eastAsia="da-DK"/>
    </w:rPr>
  </w:style>
  <w:style w:type="paragraph" w:styleId="Markeringsbobletekst">
    <w:name w:val="Balloon Text"/>
    <w:basedOn w:val="Normal"/>
    <w:link w:val="MarkeringsbobletekstTegn"/>
    <w:uiPriority w:val="99"/>
    <w:semiHidden/>
    <w:unhideWhenUsed/>
    <w:rsid w:val="002356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68F"/>
    <w:rPr>
      <w:rFonts w:ascii="Tahoma" w:eastAsia="Times New Roman" w:hAnsi="Tahoma" w:cs="Tahoma"/>
      <w:bCs/>
      <w:sz w:val="16"/>
      <w:szCs w:val="16"/>
      <w:lang w:eastAsia="da-DK"/>
    </w:rPr>
  </w:style>
  <w:style w:type="character" w:customStyle="1" w:styleId="InitialStyle">
    <w:name w:val="InitialStyle"/>
    <w:rsid w:val="0023568F"/>
    <w:rPr>
      <w:rFonts w:ascii="Times New Roman" w:hAnsi="Times New Roman" w:cs="Times New Roman" w:hint="default"/>
      <w:color w:val="auto"/>
      <w:spacing w:val="0"/>
      <w:sz w:val="24"/>
    </w:rPr>
  </w:style>
  <w:style w:type="table" w:styleId="Tabel-Gitter">
    <w:name w:val="Table Grid"/>
    <w:basedOn w:val="Tabel-Normal"/>
    <w:rsid w:val="00081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8E1"/>
    <w:pPr>
      <w:ind w:left="720"/>
      <w:contextualSpacing/>
    </w:pPr>
  </w:style>
  <w:style w:type="character" w:styleId="Kommentarhenvisning">
    <w:name w:val="annotation reference"/>
    <w:basedOn w:val="Standardskrifttypeiafsnit"/>
    <w:uiPriority w:val="99"/>
    <w:unhideWhenUsed/>
    <w:rsid w:val="00836061"/>
    <w:rPr>
      <w:sz w:val="16"/>
      <w:szCs w:val="16"/>
    </w:rPr>
  </w:style>
  <w:style w:type="paragraph" w:styleId="Kommentartekst">
    <w:name w:val="annotation text"/>
    <w:basedOn w:val="Normal"/>
    <w:link w:val="KommentartekstTegn"/>
    <w:unhideWhenUsed/>
    <w:rsid w:val="00836061"/>
    <w:rPr>
      <w:sz w:val="20"/>
    </w:rPr>
  </w:style>
  <w:style w:type="character" w:customStyle="1" w:styleId="KommentartekstTegn">
    <w:name w:val="Kommentartekst Tegn"/>
    <w:basedOn w:val="Standardskrifttypeiafsnit"/>
    <w:link w:val="Kommentartekst"/>
    <w:rsid w:val="00836061"/>
    <w:rPr>
      <w:rFonts w:ascii="Times New Roman" w:eastAsia="Times New Roman" w:hAnsi="Times New Roman" w:cs="Times New Roman"/>
      <w:bCs/>
      <w:sz w:val="20"/>
      <w:szCs w:val="20"/>
      <w:lang w:eastAsia="da-DK"/>
    </w:rPr>
  </w:style>
  <w:style w:type="paragraph" w:styleId="Kommentaremne">
    <w:name w:val="annotation subject"/>
    <w:basedOn w:val="Kommentartekst"/>
    <w:next w:val="Kommentartekst"/>
    <w:link w:val="KommentaremneTegn"/>
    <w:uiPriority w:val="99"/>
    <w:semiHidden/>
    <w:unhideWhenUsed/>
    <w:rsid w:val="00836061"/>
    <w:rPr>
      <w:b/>
    </w:rPr>
  </w:style>
  <w:style w:type="character" w:customStyle="1" w:styleId="KommentaremneTegn">
    <w:name w:val="Kommentaremne Tegn"/>
    <w:basedOn w:val="KommentartekstTegn"/>
    <w:link w:val="Kommentaremne"/>
    <w:uiPriority w:val="99"/>
    <w:semiHidden/>
    <w:rsid w:val="00836061"/>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rsid w:val="00CB3CC6"/>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CB3CC6"/>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uiPriority w:val="99"/>
    <w:rsid w:val="00CB3CC6"/>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uiPriority w:val="99"/>
    <w:rsid w:val="00CB3CC6"/>
    <w:rPr>
      <w:rFonts w:ascii="Times New Roman" w:eastAsia="Times New Roman" w:hAnsi="Times New Roman" w:cs="Times New Roman"/>
      <w:bCs/>
      <w:i/>
      <w:sz w:val="23"/>
      <w:szCs w:val="28"/>
      <w:lang w:eastAsia="da-DK"/>
    </w:rPr>
  </w:style>
  <w:style w:type="paragraph" w:customStyle="1" w:styleId="adresseskrift">
    <w:name w:val="adresseskrift"/>
    <w:basedOn w:val="Normal"/>
    <w:rsid w:val="00E269CE"/>
    <w:pPr>
      <w:framePr w:w="2160" w:h="1389" w:hRule="exact" w:hSpace="142" w:vSpace="142" w:wrap="around" w:vAnchor="page" w:hAnchor="page" w:x="9413" w:y="1498" w:anchorLock="1"/>
      <w:suppressAutoHyphens/>
      <w:jc w:val="left"/>
    </w:pPr>
    <w:rPr>
      <w:rFonts w:eastAsia="MS Mincho" w:cs="Tahoma"/>
      <w:bCs w:val="0"/>
      <w:color w:val="000000"/>
      <w:spacing w:val="-1"/>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892">
      <w:bodyDiv w:val="1"/>
      <w:marLeft w:val="0"/>
      <w:marRight w:val="0"/>
      <w:marTop w:val="0"/>
      <w:marBottom w:val="0"/>
      <w:divBdr>
        <w:top w:val="none" w:sz="0" w:space="0" w:color="auto"/>
        <w:left w:val="none" w:sz="0" w:space="0" w:color="auto"/>
        <w:bottom w:val="none" w:sz="0" w:space="0" w:color="auto"/>
        <w:right w:val="none" w:sz="0" w:space="0" w:color="auto"/>
      </w:divBdr>
    </w:div>
    <w:div w:id="159275059">
      <w:bodyDiv w:val="1"/>
      <w:marLeft w:val="0"/>
      <w:marRight w:val="0"/>
      <w:marTop w:val="0"/>
      <w:marBottom w:val="0"/>
      <w:divBdr>
        <w:top w:val="none" w:sz="0" w:space="0" w:color="auto"/>
        <w:left w:val="none" w:sz="0" w:space="0" w:color="auto"/>
        <w:bottom w:val="none" w:sz="0" w:space="0" w:color="auto"/>
        <w:right w:val="none" w:sz="0" w:space="0" w:color="auto"/>
      </w:divBdr>
    </w:div>
    <w:div w:id="377826996">
      <w:bodyDiv w:val="1"/>
      <w:marLeft w:val="0"/>
      <w:marRight w:val="0"/>
      <w:marTop w:val="0"/>
      <w:marBottom w:val="0"/>
      <w:divBdr>
        <w:top w:val="none" w:sz="0" w:space="0" w:color="auto"/>
        <w:left w:val="none" w:sz="0" w:space="0" w:color="auto"/>
        <w:bottom w:val="none" w:sz="0" w:space="0" w:color="auto"/>
        <w:right w:val="none" w:sz="0" w:space="0" w:color="auto"/>
      </w:divBdr>
    </w:div>
    <w:div w:id="1127620805">
      <w:bodyDiv w:val="1"/>
      <w:marLeft w:val="0"/>
      <w:marRight w:val="0"/>
      <w:marTop w:val="0"/>
      <w:marBottom w:val="0"/>
      <w:divBdr>
        <w:top w:val="none" w:sz="0" w:space="0" w:color="auto"/>
        <w:left w:val="none" w:sz="0" w:space="0" w:color="auto"/>
        <w:bottom w:val="none" w:sz="0" w:space="0" w:color="auto"/>
        <w:right w:val="none" w:sz="0" w:space="0" w:color="auto"/>
      </w:divBdr>
    </w:div>
    <w:div w:id="13094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51B73F99E5554AAA04520DC86758F5" ma:contentTypeVersion="1" ma:contentTypeDescription="Opret et nyt dokument." ma:contentTypeScope="" ma:versionID="552397441c8671967cc85416eaa53a41">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B06B0-816C-4BA1-BB2D-4B292D791D16}"/>
</file>

<file path=customXml/itemProps2.xml><?xml version="1.0" encoding="utf-8"?>
<ds:datastoreItem xmlns:ds="http://schemas.openxmlformats.org/officeDocument/2006/customXml" ds:itemID="{E15DA076-BABB-479F-B96D-C30300A8859B}"/>
</file>

<file path=customXml/itemProps3.xml><?xml version="1.0" encoding="utf-8"?>
<ds:datastoreItem xmlns:ds="http://schemas.openxmlformats.org/officeDocument/2006/customXml" ds:itemID="{E6FDAD1C-DA4B-4F3D-87D8-C2581E79FB49}"/>
</file>

<file path=customXml/itemProps4.xml><?xml version="1.0" encoding="utf-8"?>
<ds:datastoreItem xmlns:ds="http://schemas.openxmlformats.org/officeDocument/2006/customXml" ds:itemID="{D431D23C-EA57-4306-A018-B43436401232}"/>
</file>

<file path=docProps/app.xml><?xml version="1.0" encoding="utf-8"?>
<Properties xmlns="http://schemas.openxmlformats.org/officeDocument/2006/extended-properties" xmlns:vt="http://schemas.openxmlformats.org/officeDocument/2006/docPropsVTypes">
  <Template>256B287B</Template>
  <TotalTime>5</TotalTime>
  <Pages>4</Pages>
  <Words>1329</Words>
  <Characters>8109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GEUS</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Keulen, Nynke</dc:creator>
  <cp:lastModifiedBy>Keulen, Nynke</cp:lastModifiedBy>
  <cp:revision>4</cp:revision>
  <dcterms:created xsi:type="dcterms:W3CDTF">2017-04-06T19:04:00Z</dcterms:created>
  <dcterms:modified xsi:type="dcterms:W3CDTF">2017-04-11T12:21:00Z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0x0101009451B73F99E5554AAA04520DC86758F5</vt:lpwstr>
  </property>
</Properties>
</file>